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AC" w:rsidRDefault="00FE6E7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12P/SR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5"/>
        <w:gridCol w:w="621"/>
        <w:gridCol w:w="996"/>
        <w:gridCol w:w="1458"/>
        <w:gridCol w:w="351"/>
        <w:gridCol w:w="1832"/>
        <w:gridCol w:w="996"/>
        <w:gridCol w:w="962"/>
      </w:tblGrid>
      <w:tr w:rsidR="004736AC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4736AC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1"/>
              </w:rPr>
              <w:t>Poradnia Psychologiczno - Pedagogiczna nr 12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1"/>
              </w:rPr>
              <w:t>ul. Dzielna 1a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1"/>
              </w:rPr>
              <w:t>00-162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736A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1"/>
              </w:rPr>
              <w:t>tel. 226369199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4736AC" w:rsidRDefault="00FE6E7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4736A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4736AC" w:rsidRDefault="00FE6E75">
            <w:pPr>
              <w:spacing w:after="0"/>
            </w:pPr>
            <w:r>
              <w:rPr>
                <w:sz w:val="11"/>
              </w:rPr>
              <w:t>000838163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1 601,85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1 401,15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-162 170,99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-196 484,92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1 999 124,16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2 019 693,80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1 601,85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1 401,15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-2 161 295,15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-2 216 178,72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1 601,85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1 401,15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-2 161 295,15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-2 216 178,72</w:t>
            </w:r>
          </w:p>
        </w:tc>
      </w:tr>
      <w:tr w:rsidR="004736A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(nadwyżka </w:t>
            </w:r>
            <w:r>
              <w:rPr>
                <w:b/>
                <w:sz w:val="13"/>
              </w:rPr>
              <w:t>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1 601,85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1 401,15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 xml:space="preserve">1.4. </w:t>
            </w:r>
            <w:r>
              <w:rPr>
                <w:sz w:val="13"/>
              </w:rPr>
              <w:t>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231 805,37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261 877,95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231 805,37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261 877,95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437,07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435,08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18 839,00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20 948,00</w:t>
            </w:r>
          </w:p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57 990,32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84 313,42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87 028,21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92 218,16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68 032,53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63 </w:t>
            </w:r>
            <w:r>
              <w:rPr>
                <w:b/>
                <w:sz w:val="13"/>
              </w:rPr>
              <w:t>991,88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4736AC" w:rsidRDefault="00FE6E7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67 510,77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63 963,29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67 510,77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 xml:space="preserve">63 </w:t>
            </w:r>
            <w:r>
              <w:rPr>
                <w:sz w:val="13"/>
              </w:rPr>
              <w:t>963,29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26 592,76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14 963,59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26 592,76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14 963,59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 xml:space="preserve">5. Rozliczenia z tytułu </w:t>
            </w:r>
            <w:r>
              <w:rPr>
                <w:sz w:val="13"/>
              </w:rPr>
              <w:t>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41 439,77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49 028,29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41 439,77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49 028,29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FE6E7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36AC" w:rsidRDefault="004736AC"/>
        </w:tc>
      </w:tr>
      <w:tr w:rsidR="004736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69 634,38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65 393,03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69 634,38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3"/>
              </w:rPr>
              <w:t>65 393,03</w:t>
            </w:r>
          </w:p>
        </w:tc>
      </w:tr>
      <w:tr w:rsidR="004736A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4736AC" w:rsidRDefault="00FE6E7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6AC" w:rsidRDefault="00FE6E7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4736AC" w:rsidRDefault="00FE6E75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4736AC" w:rsidRDefault="00FE6E75">
            <w:pPr>
              <w:spacing w:after="0"/>
              <w:ind w:left="1496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4736AC" w:rsidRDefault="00FE6E75">
      <w:pPr>
        <w:spacing w:after="306"/>
        <w:ind w:left="127"/>
        <w:jc w:val="center"/>
      </w:pPr>
      <w:r>
        <w:rPr>
          <w:sz w:val="11"/>
        </w:rPr>
        <w:t>Strona 1 z 1</w:t>
      </w:r>
    </w:p>
    <w:p w:rsidR="004736AC" w:rsidRDefault="00FE6E75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</w:t>
      </w:r>
      <w:r>
        <w:rPr>
          <w:sz w:val="11"/>
        </w:rPr>
        <w:t xml:space="preserve"> - Śródmieście m. st. Warszawy, 00-375 Warszawa, Smolna 10A</w:t>
      </w:r>
    </w:p>
    <w:p w:rsidR="004736AC" w:rsidRDefault="00FE6E75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12P/SR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736AC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4736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736AC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Poradnia Psychologiczno - Pedagogiczna nr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736A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ul. Dzielna 1a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4736AC"/>
        </w:tc>
      </w:tr>
      <w:tr w:rsidR="004736A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00-162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4736AC"/>
        </w:tc>
      </w:tr>
      <w:tr w:rsidR="004736A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tel. 226369199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736AC" w:rsidRDefault="00FE6E7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736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736AC" w:rsidRDefault="00FE6E75">
            <w:pPr>
              <w:spacing w:after="0"/>
            </w:pPr>
            <w:r>
              <w:rPr>
                <w:sz w:val="13"/>
              </w:rPr>
              <w:t>000838163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</w:tr>
      <w:tr w:rsidR="004736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4736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728,71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728,71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2 162 463,86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2 292 882,64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841,80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200,70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50 950,22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51 321,10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38 820,61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34 545,09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720,00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120,00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1 672 150,80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1 775 404,57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398 199,03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430 377,18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781,40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914,00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-2 161 </w:t>
            </w:r>
            <w:r>
              <w:rPr>
                <w:b/>
                <w:sz w:val="15"/>
              </w:rPr>
              <w:t>735,15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-2 292 882,64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440,00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76 703,92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440,00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76 703,92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operacyjnej </w:t>
            </w:r>
            <w:r>
              <w:rPr>
                <w:b/>
                <w:sz w:val="15"/>
              </w:rPr>
              <w:t>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-2 161 295,15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-2 216 178,72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 xml:space="preserve">I. Zysk (strata) brutto </w:t>
            </w:r>
            <w:r>
              <w:rPr>
                <w:b/>
                <w:sz w:val="15"/>
              </w:rPr>
              <w:t>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-2 161 295,15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-2 216 178,72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-2 161 295,15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-2 216 178,72</w:t>
            </w:r>
          </w:p>
        </w:tc>
      </w:tr>
    </w:tbl>
    <w:p w:rsidR="004736AC" w:rsidRDefault="00FE6E7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736AC" w:rsidRDefault="00FE6E7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736AC" w:rsidRDefault="00FE6E7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736AC" w:rsidRDefault="00FE6E7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4736AC" w:rsidRDefault="00FE6E7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736AC" w:rsidRDefault="00FE6E75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4736AC" w:rsidRDefault="00FE6E75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12P/SR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4736A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4736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4736AC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Poradnia Psychologiczno - Pedagogiczna nr 12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4736AC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</w:pPr>
            <w:r>
              <w:rPr>
                <w:sz w:val="13"/>
              </w:rPr>
              <w:t>ul. Dzielna 1a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4736AC" w:rsidRDefault="004736AC"/>
        </w:tc>
      </w:tr>
      <w:tr w:rsidR="004736A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right="2513"/>
            </w:pPr>
            <w:r>
              <w:rPr>
                <w:sz w:val="13"/>
              </w:rPr>
              <w:t>00-162 Warszawa tel. 226369199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4736AC" w:rsidRDefault="00FE6E7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4736AC" w:rsidRDefault="00FE6E7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4736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4736AC" w:rsidRDefault="00FE6E75">
            <w:pPr>
              <w:spacing w:after="0"/>
            </w:pPr>
            <w:r>
              <w:rPr>
                <w:sz w:val="13"/>
              </w:rPr>
              <w:t>000838163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4736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center"/>
          </w:tcPr>
          <w:p w:rsidR="004736AC" w:rsidRDefault="004736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6"/>
              </w:rPr>
              <w:t>Stan na koniec</w:t>
            </w:r>
            <w:r>
              <w:rPr>
                <w:sz w:val="16"/>
              </w:rPr>
              <w:t xml:space="preserve">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4736AC" w:rsidRDefault="00FE6E7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1 884 416,24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1 999 124,16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2 171 941,28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2 182 964,68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2 171 941,28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2 182 964,68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2 057 233,36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2 162 395,04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2 056 055,46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2 161 295,15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1 175,85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1 099,89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2,05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1 999 124,16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2 019 693,80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-2 161 295,15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-2 216 178,72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-2 161 295,15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-2 216 178,72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-162 170,99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b/>
                <w:sz w:val="15"/>
              </w:rPr>
              <w:t>-196 484,92</w:t>
            </w:r>
          </w:p>
        </w:tc>
      </w:tr>
    </w:tbl>
    <w:p w:rsidR="004736AC" w:rsidRDefault="00FE6E7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4736AC" w:rsidRDefault="00FE6E7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4736AC" w:rsidRDefault="00FE6E7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4736AC" w:rsidRDefault="00FE6E7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4736AC" w:rsidRDefault="00FE6E7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4736AC" w:rsidRDefault="00FE6E7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4736AC" w:rsidRDefault="004736AC">
      <w:pPr>
        <w:sectPr w:rsidR="004736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4736AC" w:rsidRDefault="00FE6E75">
      <w:pPr>
        <w:spacing w:after="253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4736AC" w:rsidRDefault="00FE6E75">
      <w:pPr>
        <w:pStyle w:val="Nagwek1"/>
        <w:spacing w:after="0" w:line="259" w:lineRule="auto"/>
        <w:ind w:left="2673" w:firstLine="0"/>
        <w:jc w:val="center"/>
      </w:pPr>
      <w:r>
        <w:t xml:space="preserve">Załącznik nr 20 </w:t>
      </w:r>
    </w:p>
    <w:p w:rsidR="004736AC" w:rsidRDefault="00FE6E75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4736AC" w:rsidRDefault="00FE6E7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736AC" w:rsidRDefault="00FE6E7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Poradni Psychologiczno-Pedagogicznej N</w:t>
      </w:r>
      <w:r>
        <w:t xml:space="preserve">r 12 </w:t>
      </w:r>
    </w:p>
    <w:p w:rsidR="004736AC" w:rsidRDefault="00FE6E75">
      <w:pPr>
        <w:spacing w:after="1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jednostki: Poradnia Psychologiczno-Pedagogiczna Nr 12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jednostki: ul. Dzielna 1a, 00-162 Warszawa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1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jednostki: ul. Dzielna 1a, 00-162 Warszawa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0" w:line="248" w:lineRule="auto"/>
        <w:ind w:left="561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: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10" w:line="248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Poradni Psychologiczno-Pedagogicznej jest udzielanie dzieciom i młodzieży pomocy psychologiczno-pedagogicznej oraz pomocy w wyborze kierunku kształcenia i zawodu, udziela rodzicom i nauczycielom pomocy psychologicznopedagogicznej z</w:t>
      </w:r>
      <w:r>
        <w:rPr>
          <w:rFonts w:ascii="Times New Roman" w:eastAsia="Times New Roman" w:hAnsi="Times New Roman" w:cs="Times New Roman"/>
          <w:sz w:val="24"/>
        </w:rPr>
        <w:t>wiązanej z wychowywaniem i kształceniem dzieci i młodzieży, a także wspomagają przedszkola, szkoły i placówki w zakresie realizacji zadań dydaktycznych, wychowawczych i opiekuńczych.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36AC" w:rsidRDefault="00FE6E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36AC" w:rsidRDefault="00FE6E75">
      <w:pPr>
        <w:spacing w:after="0"/>
        <w:ind w:left="566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4" w:line="268" w:lineRule="auto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4736AC" w:rsidRDefault="00FE6E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3"/>
      </w:pPr>
      <w:r>
        <w:rPr>
          <w:rFonts w:ascii="Times New Roman" w:eastAsia="Times New Roman" w:hAnsi="Times New Roman" w:cs="Times New Roman"/>
          <w:sz w:val="20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01.01.2020 r - 31.12.2020 r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lastRenderedPageBreak/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4736AC" w:rsidRDefault="00FE6E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Nie dotyczy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34" w:line="239" w:lineRule="auto"/>
        <w:ind w:left="926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4736AC" w:rsidRDefault="00FE6E75">
      <w:pPr>
        <w:spacing w:after="2" w:line="248" w:lineRule="auto"/>
        <w:ind w:right="-7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szczególnych zasad wyceny zawartych w rozporządzeniu Ministra finansów z dnia 13 września 2017 r. w spra</w:t>
      </w:r>
      <w:r>
        <w:rPr>
          <w:rFonts w:ascii="Times New Roman" w:eastAsia="Times New Roman" w:hAnsi="Times New Roman" w:cs="Times New Roman"/>
          <w:sz w:val="24"/>
        </w:rPr>
        <w:t>wie szczególnych zasad rachunkowości oraz planów kont dla budżetu państwa, budżetów jednostek samorządu terytorialnego, jednostek budżetowych, samorządowych zakładów budżetowych, państwowych funduszy celowych oraz państwowych jednostek budżetowych mających</w:t>
      </w:r>
      <w:r>
        <w:rPr>
          <w:rFonts w:ascii="Times New Roman" w:eastAsia="Times New Roman" w:hAnsi="Times New Roman" w:cs="Times New Roman"/>
          <w:sz w:val="24"/>
        </w:rPr>
        <w:t xml:space="preserve"> siedzibę poza granicami Rzeczypospolitej Polskiej (Dz. U. z 2017 poz. 1911  z późn. zm.). </w:t>
      </w:r>
    </w:p>
    <w:p w:rsidR="004736AC" w:rsidRDefault="00FE6E7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stawek zgodnych z wykazem rocznych stawek amortyzacyjnych w ustawie o podatku dochodowym o</w:t>
      </w:r>
      <w:r>
        <w:rPr>
          <w:rFonts w:ascii="Times New Roman" w:eastAsia="Times New Roman" w:hAnsi="Times New Roman" w:cs="Times New Roman"/>
          <w:sz w:val="24"/>
        </w:rPr>
        <w:t xml:space="preserve">d osób prawnych;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</w:t>
      </w:r>
      <w:r>
        <w:rPr>
          <w:rFonts w:ascii="Times New Roman" w:eastAsia="Times New Roman" w:hAnsi="Times New Roman" w:cs="Times New Roman"/>
          <w:sz w:val="24"/>
        </w:rPr>
        <w:t xml:space="preserve">dokonane odpisy umorzeniowe;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</w:t>
      </w:r>
      <w:r>
        <w:rPr>
          <w:rFonts w:ascii="Times New Roman" w:eastAsia="Times New Roman" w:hAnsi="Times New Roman" w:cs="Times New Roman"/>
          <w:sz w:val="24"/>
        </w:rPr>
        <w:t xml:space="preserve">lub wytworzenia);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W </w:t>
      </w:r>
      <w:r>
        <w:rPr>
          <w:rFonts w:ascii="Times New Roman" w:eastAsia="Times New Roman" w:hAnsi="Times New Roman" w:cs="Times New Roman"/>
          <w:sz w:val="24"/>
        </w:rPr>
        <w:t xml:space="preserve">momencie przyjęcia ich do użytkowania dokonuje się jednorazowych odpisów ich wartości nabycia w koszty;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</w:t>
      </w:r>
      <w:r>
        <w:rPr>
          <w:rFonts w:ascii="Times New Roman" w:eastAsia="Times New Roman" w:hAnsi="Times New Roman" w:cs="Times New Roman"/>
          <w:sz w:val="24"/>
        </w:rPr>
        <w:t xml:space="preserve"> wartości rynkowej aktualnej w momencie otrzymania). Wartość przyjętych nieodpłatnie aktywów, w tym środków obrotowych, w ramach centralnego zaopatrzenia odnosi się w ciężar funduszu jednostki.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</w:t>
      </w:r>
      <w:r>
        <w:rPr>
          <w:rFonts w:ascii="Times New Roman" w:eastAsia="Times New Roman" w:hAnsi="Times New Roman" w:cs="Times New Roman"/>
          <w:sz w:val="24"/>
        </w:rPr>
        <w:t xml:space="preserve"> w sposób pozwalający na wyodrębnienie ich tytułów, kontrahentów, podziału na długo i krótkoterminowe według klasyfikacji wymaganej w raportowaniu budżetowym. Wartość należności na </w:t>
      </w:r>
      <w:r>
        <w:rPr>
          <w:rFonts w:ascii="Times New Roman" w:eastAsia="Times New Roman" w:hAnsi="Times New Roman" w:cs="Times New Roman"/>
          <w:sz w:val="24"/>
        </w:rPr>
        <w:lastRenderedPageBreak/>
        <w:t>dzień bilansowy aktualizuje się z uwzględnieniem prawdopodobieństwa zapłaty</w:t>
      </w:r>
      <w:r>
        <w:rPr>
          <w:rFonts w:ascii="Times New Roman" w:eastAsia="Times New Roman" w:hAnsi="Times New Roman" w:cs="Times New Roman"/>
          <w:sz w:val="24"/>
        </w:rPr>
        <w:t xml:space="preserve"> oraz stopnia ich przeterminowania. Odsetki od nieterminowych płatności należności ujmuje się nie później niż pod datą ostatniego dnia kwartału w wysokości odsetek należnych na koniec tego kwartału lub w momencie zapłaty. Odpisy aktualizujące obciążają poz</w:t>
      </w:r>
      <w:r>
        <w:rPr>
          <w:rFonts w:ascii="Times New Roman" w:eastAsia="Times New Roman" w:hAnsi="Times New Roman" w:cs="Times New Roman"/>
          <w:sz w:val="24"/>
        </w:rPr>
        <w:t xml:space="preserve">ostałe koszty operacyjne i finansowe;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</w:t>
      </w:r>
      <w:r>
        <w:rPr>
          <w:rFonts w:ascii="Times New Roman" w:eastAsia="Times New Roman" w:hAnsi="Times New Roman" w:cs="Times New Roman"/>
          <w:sz w:val="24"/>
        </w:rPr>
        <w:t xml:space="preserve">i krótkoterminowe według klasyfikacji wymaganej w raportowaniu budżetowym. Odpisane, przedawnione i umorzone zobowiązania wycenia się w kwocie wymagającej zapłaty i ujmuje w przychodach finansowych. Rezerwy na zobowiązania nie są tworzone.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</w:t>
      </w:r>
      <w:r>
        <w:rPr>
          <w:rFonts w:ascii="Times New Roman" w:eastAsia="Times New Roman" w:hAnsi="Times New Roman" w:cs="Times New Roman"/>
          <w:sz w:val="24"/>
        </w:rPr>
        <w:t>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36AC" w:rsidRDefault="00FE6E75">
      <w:pPr>
        <w:numPr>
          <w:ilvl w:val="0"/>
          <w:numId w:val="1"/>
        </w:numPr>
        <w:spacing w:after="57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4736AC" w:rsidRDefault="00FE6E75">
      <w:pPr>
        <w:numPr>
          <w:ilvl w:val="0"/>
          <w:numId w:val="1"/>
        </w:numPr>
        <w:spacing w:after="0" w:line="248" w:lineRule="auto"/>
        <w:ind w:right="-7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36AC" w:rsidRDefault="00FE6E7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FE6E7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4736AC" w:rsidRDefault="00FE6E75">
      <w:pPr>
        <w:spacing w:after="4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4736AC" w:rsidRDefault="00FE6E75">
      <w:pPr>
        <w:spacing w:after="4" w:line="268" w:lineRule="auto"/>
        <w:ind w:left="1122" w:hanging="571"/>
      </w:pPr>
      <w:r>
        <w:rPr>
          <w:rFonts w:ascii="Times New Roman" w:eastAsia="Times New Roman" w:hAnsi="Times New Roman" w:cs="Times New Roman"/>
          <w:b/>
          <w:sz w:val="24"/>
        </w:rPr>
        <w:t>a)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Book Antiqua" w:eastAsia="Book Antiqua" w:hAnsi="Book Antiqua" w:cs="Book Antiqua"/>
          <w:b/>
        </w:rPr>
        <w:t>W jednostce nie wystąpiła korekta bilansu otwarcia 2020 roku  oraz zmiana w prezentacji po</w:t>
      </w:r>
      <w:r>
        <w:rPr>
          <w:rFonts w:ascii="Book Antiqua" w:eastAsia="Book Antiqua" w:hAnsi="Book Antiqua" w:cs="Book Antiqua"/>
          <w:b/>
        </w:rPr>
        <w:t>szczególnych pozycji sprawozdania finansowego.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736AC" w:rsidRDefault="00FE6E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4736AC" w:rsidRDefault="00FE6E7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4736AC" w:rsidRDefault="004736AC">
      <w:pPr>
        <w:sectPr w:rsidR="004736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38" w:right="1128" w:bottom="1394" w:left="1702" w:header="861" w:footer="857" w:gutter="0"/>
          <w:cols w:space="708"/>
        </w:sectPr>
      </w:pPr>
    </w:p>
    <w:p w:rsidR="004736AC" w:rsidRDefault="00FE6E75">
      <w:pPr>
        <w:pStyle w:val="Nagwek2"/>
      </w:pPr>
      <w:r>
        <w:lastRenderedPageBreak/>
        <w:t>Załącznik nr 21</w:t>
      </w:r>
    </w:p>
    <w:p w:rsidR="004736AC" w:rsidRDefault="00FE6E75">
      <w:pPr>
        <w:spacing w:after="222" w:line="257" w:lineRule="auto"/>
        <w:ind w:left="8831" w:hanging="10"/>
      </w:pPr>
      <w:r>
        <w:rPr>
          <w:rFonts w:ascii="Book Antiqua" w:eastAsia="Book Antiqua" w:hAnsi="Book Antiqua" w:cs="Book Antiqua"/>
          <w:sz w:val="15"/>
        </w:rPr>
        <w:t>do Zasad obieg</w:t>
      </w:r>
      <w:r>
        <w:rPr>
          <w:rFonts w:ascii="Book Antiqua" w:eastAsia="Book Antiqua" w:hAnsi="Book Antiqua" w:cs="Book Antiqua"/>
          <w:sz w:val="15"/>
        </w:rPr>
        <w:t>u oraz kontroli sprawozdań budżetowych, sprawozdań w zakresie operacji finansowych i sprawozdań  finansowych w Urzędzie m.st. Warszawy i  jednostkach organizacyjnych m.st. Warszawy</w:t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0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4736AC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FE6E75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4736AC" w:rsidRDefault="004736AC"/>
        </w:tc>
      </w:tr>
      <w:tr w:rsidR="004736AC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4736AC" w:rsidRDefault="00FE6E7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736AC" w:rsidRDefault="00FE6E7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736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13 379,89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118 246,32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131 626,21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5 803,39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5 803,39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5 803,39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5 803,39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13 379,89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124 049,71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137 429,60</w:t>
            </w:r>
          </w:p>
        </w:tc>
      </w:tr>
      <w:tr w:rsidR="004736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11 778,04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118 246,32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130 024,36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200,70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5 803,39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6 004,09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200,70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200,70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5 803,39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5 803,39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11 978,74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124 049,71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136 028,45</w:t>
            </w:r>
          </w:p>
        </w:tc>
      </w:tr>
      <w:tr w:rsidR="004736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1 601,85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1 601,85</w:t>
            </w:r>
          </w:p>
        </w:tc>
      </w:tr>
      <w:tr w:rsidR="004736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1 401,15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1 401,15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4736AC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4736AC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736AC" w:rsidRDefault="004736AC"/>
        </w:tc>
      </w:tr>
      <w:tr w:rsidR="004736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4736AC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4736AC" w:rsidRDefault="00FE6E7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4736AC" w:rsidRDefault="00FE6E75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4736AC" w:rsidRDefault="00FE6E75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4736AC" w:rsidRDefault="00FE6E75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architektury i bu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downictwa, </w:t>
            </w:r>
          </w:p>
          <w:p w:rsidR="004736AC" w:rsidRDefault="00FE6E75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4736AC" w:rsidRDefault="00FE6E75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4736AC" w:rsidRDefault="00FE6E7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4736AC" w:rsidRDefault="00FE6E75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4736AC" w:rsidRDefault="00FE6E75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4736A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4736AC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736AC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bottom"/>
          </w:tcPr>
          <w:p w:rsidR="004736AC" w:rsidRDefault="004736AC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6AC" w:rsidRDefault="00FE6E75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4736AC" w:rsidRDefault="00FE6E75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4736A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4736AC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4736AC" w:rsidRDefault="00FE6E75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736A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4736AC" w:rsidRDefault="00FE6E7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736AC" w:rsidRDefault="00FE6E7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4736AC" w:rsidRDefault="00FE6E75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4736AC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736A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4736A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</w:tbl>
    <w:p w:rsidR="004736AC" w:rsidRDefault="00FE6E7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4736AC" w:rsidRDefault="00FE6E7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4736A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FE6E75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736AC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4736AC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4736AC" w:rsidRDefault="004736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4736AC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4736AC" w:rsidRDefault="00FE6E75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4736AC" w:rsidRDefault="00FE6E75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4736AC" w:rsidRDefault="00FE6E7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736A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4736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4736AC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26 086,03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23 029,40</w:t>
            </w:r>
          </w:p>
        </w:tc>
      </w:tr>
    </w:tbl>
    <w:p w:rsidR="004736AC" w:rsidRDefault="00FE6E75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4736AC" w:rsidRDefault="00FE6E75">
      <w:pPr>
        <w:spacing w:after="0"/>
      </w:pPr>
      <w:r>
        <w:br w:type="page"/>
      </w:r>
    </w:p>
    <w:p w:rsidR="004736AC" w:rsidRDefault="00FE6E75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4736AC" w:rsidRDefault="00FE6E75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4736AC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4736A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736AC" w:rsidRDefault="004736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4736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26 592,76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14 963,59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26 071,00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14 935,00</w:t>
            </w:r>
          </w:p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521,76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28,59</w:t>
            </w:r>
          </w:p>
        </w:tc>
      </w:tr>
      <w:tr w:rsidR="004736AC">
        <w:trPr>
          <w:trHeight w:val="40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26 592,76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14 963,59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4736A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4736A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4736A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4736AC" w:rsidRDefault="00FE6E75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4736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4736AC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76 097,20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76 097,20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76 097,20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8 357,39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8 357,39</w:t>
            </w:r>
          </w:p>
        </w:tc>
      </w:tr>
      <w:tr w:rsidR="004736A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8 357,39</w:t>
            </w:r>
          </w:p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4736A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4736A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r>
        <w:br w:type="page"/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</w:tr>
      <w:tr w:rsidR="004736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FE6E75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728,71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728,71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728,71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728,71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4736AC" w:rsidRDefault="004736AC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4736AC" w:rsidRDefault="00FE6E75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6 287,20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3 422,91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23 542,61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21 948,23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2 140,00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2 323,15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6 850,80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6 850,80</w:t>
            </w:r>
          </w:p>
        </w:tc>
      </w:tr>
      <w:tr w:rsidR="004736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38 820,61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34 545,09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736A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76 703,92</w:t>
            </w:r>
          </w:p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</w:tr>
      <w:tr w:rsidR="004736A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76 703,92</w:t>
            </w:r>
          </w:p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76 703,92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736AC">
        <w:trPr>
          <w:trHeight w:val="38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736A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615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736AC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spacing w:after="131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4736A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4736AC" w:rsidRDefault="00FE6E75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4736AC" w:rsidRDefault="00FE6E75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680" name="Picture 836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0" name="Picture 836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6AC" w:rsidRDefault="00FE6E75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4736AC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4736AC" w:rsidRDefault="00FE6E75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4736AC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33,00</w:t>
            </w:r>
          </w:p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4736AC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</w:tbl>
    <w:p w:rsidR="004736AC" w:rsidRDefault="00FE6E7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4736AC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4736AC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4736AC" w:rsidRDefault="00FE6E7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4736AC" w:rsidRDefault="00FE6E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4736AC" w:rsidRDefault="00FE6E7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4736AC" w:rsidRDefault="00FE6E75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736AC" w:rsidRDefault="004736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736AC" w:rsidRDefault="00FE6E7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736AC" w:rsidRDefault="004736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6AC" w:rsidRDefault="004736AC"/>
        </w:tc>
      </w:tr>
      <w:tr w:rsidR="004736AC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36AC" w:rsidRDefault="00FE6E7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4736AC" w:rsidRDefault="00FE6E7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6AC" w:rsidRDefault="00FE6E75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36AC" w:rsidRDefault="00FE6E7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4736AC" w:rsidRDefault="00FE6E7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4736AC" w:rsidRDefault="00FE6E75">
      <w:pPr>
        <w:spacing w:after="12" w:line="257" w:lineRule="auto"/>
        <w:ind w:left="-5" w:hanging="10"/>
      </w:pPr>
      <w:r>
        <w:rPr>
          <w:rFonts w:ascii="Book Antiqua" w:eastAsia="Book Antiqua" w:hAnsi="Book Antiqua" w:cs="Book Antiqua"/>
          <w:sz w:val="15"/>
        </w:rPr>
        <w:t>Sporządziła: Agnieszka Lenarcik</w:t>
      </w:r>
    </w:p>
    <w:sectPr w:rsidR="004736A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62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E6E75">
      <w:pPr>
        <w:spacing w:after="0" w:line="240" w:lineRule="auto"/>
      </w:pPr>
      <w:r>
        <w:separator/>
      </w:r>
    </w:p>
  </w:endnote>
  <w:endnote w:type="continuationSeparator" w:id="0">
    <w:p w:rsidR="00000000" w:rsidRDefault="00FE6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sz w:val="20"/>
      </w:rPr>
      <w:t>Wpro</w:t>
    </w:r>
    <w:r>
      <w:rPr>
        <w:rFonts w:ascii="Times New Roman" w:eastAsia="Times New Roman" w:hAnsi="Times New Roman" w:cs="Times New Roman"/>
        <w:sz w:val="20"/>
      </w:rPr>
      <w:t xml:space="preserve">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E6E75">
      <w:pPr>
        <w:spacing w:after="0" w:line="240" w:lineRule="auto"/>
      </w:pPr>
      <w:r>
        <w:separator/>
      </w:r>
    </w:p>
  </w:footnote>
  <w:footnote w:type="continuationSeparator" w:id="0">
    <w:p w:rsidR="00000000" w:rsidRDefault="00FE6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4736A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1271271</wp:posOffset>
              </wp:positionV>
              <wp:extent cx="5769229" cy="9144"/>
              <wp:effectExtent l="0" t="0" r="0" b="0"/>
              <wp:wrapSquare wrapText="bothSides"/>
              <wp:docPr id="83808" name="Group 83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39" name="Shape 8963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9C755D" id="Group 83808" o:spid="_x0000_s1026" style="position:absolute;margin-left:83.65pt;margin-top:100.1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4DewIAAFkGAAAOAAAAZHJzL2Uyb0RvYy54bWykVc1u2zAMvg/YOwi+L3bSL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">
              <v:shape id="Shape 8963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wncYA&#10;AADeAAAADwAAAGRycy9kb3ducmV2LnhtbESPS4vCQBCE7wv+h6EFL8s6UUFj1lHEFx48+GLPTaY3&#10;CWZ6YmbU+O8dYWGPRVV9RU1mjSnFnWpXWFbQ60YgiFOrC84UnE/rrxiE88gaS8uk4EkOZtPWxwQT&#10;bR98oPvRZyJA2CWoIPe+SqR0aU4GXddWxMH7tbVBH2SdSV3jI8BNKftRNJQGCw4LOVa0yCm9HG9G&#10;wYo+Nz/9/YVO55HvLa8RPXcrUqrTbubfIDw1/j/8195qBfF4OBjD+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Fwn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Poradnia Psychologiczno-Pedagogiczna Nr 12  </w:t>
    </w:r>
  </w:p>
  <w:p w:rsidR="004736AC" w:rsidRDefault="00FE6E7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1271271</wp:posOffset>
              </wp:positionV>
              <wp:extent cx="5769229" cy="9144"/>
              <wp:effectExtent l="0" t="0" r="0" b="0"/>
              <wp:wrapSquare wrapText="bothSides"/>
              <wp:docPr id="83754" name="Group 83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38" name="Shape 8963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310CCD" id="Group 83754" o:spid="_x0000_s1026" style="position:absolute;margin-left:83.65pt;margin-top:100.1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">
              <v:shape id="Shape 8963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VBsQA&#10;AADeAAAADwAAAGRycy9kb3ducmV2LnhtbERPy2rCQBTdF/yH4Qpuik5iwUd0EqTa4qKL+sD1JXNN&#10;QjJ30sxU4987i0KXh/NeZ71pxI06V1lWEE8iEMS51RUXCs6nj/EChPPIGhvLpOBBDrJ08LLGRNs7&#10;H+h29IUIIewSVFB63yZSurwkg25iW+LAXW1n0AfYFVJ3eA/hppHTKJpJgxWHhhJbei8pr4+/RsGO&#10;Xj8v0++aTue5j7c/ET2+dqTUaNhvViA89f5f/OfeawWL5ewt7A13whWQ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1QbEAAAA3gAAAA8AAAAAAAAAAAAAAAAAmAIAAGRycy9k&#10;b3ducmV2LnhtbFBLBQYAAAAABAAEAPUAAACJ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Poradnia Psychologiczno-Pedagogiczna Nr 12  </w:t>
    </w:r>
  </w:p>
  <w:p w:rsidR="004736AC" w:rsidRDefault="00FE6E7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1271271</wp:posOffset>
              </wp:positionV>
              <wp:extent cx="5769229" cy="9144"/>
              <wp:effectExtent l="0" t="0" r="0" b="0"/>
              <wp:wrapSquare wrapText="bothSides"/>
              <wp:docPr id="83700" name="Group 837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37" name="Shape 8963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D8A55E" id="Group 83700" o:spid="_x0000_s1026" style="position:absolute;margin-left:83.65pt;margin-top:100.1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6q/egIAAFkGAAAOAAAAZHJzL2Uyb0RvYy54bWykVc1u2zAMvg/YOwi+L3bSL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">
              <v:shape id="Shape 8963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BdMcA&#10;AADeAAAADwAAAGRycy9kb3ducmV2LnhtbESPQWvCQBSE7wX/w/IEL0U3Wkg0uorUtHjooVXx/Mg+&#10;k2D2bZrdxvjvuwWhx2FmvmFWm97UoqPWVZYVTCcRCOLc6ooLBafj23gOwnlkjbVlUnAnB5v14GmF&#10;qbY3/qLu4AsRIOxSVFB636RSurwkg25iG+LgXWxr0AfZFlK3eAtwU8tZFMXSYMVhocSGXkvKr4cf&#10;oyCj5/fz7PNKx1Pip7vviO4fGSk1GvbbJQhPvf8PP9p7rWC+iF8S+Ls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CQXT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Poradnia Psychologiczno-Pedagogiczna Nr 12  </w:t>
    </w:r>
  </w:p>
  <w:p w:rsidR="004736AC" w:rsidRDefault="00FE6E75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4736AC" w:rsidRDefault="00FE6E7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Poradnia Psychologiczno Pedagogiczna Nr 12</w:t>
    </w:r>
  </w:p>
  <w:p w:rsidR="004736AC" w:rsidRDefault="00FE6E7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736AC" w:rsidRDefault="00FE6E7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>Poradnia Psychologiczno Pedagogiczna Nr 12</w:t>
    </w:r>
  </w:p>
  <w:p w:rsidR="004736AC" w:rsidRDefault="00FE6E7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736AC" w:rsidRDefault="00FE6E7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6AC" w:rsidRDefault="00FE6E75">
    <w:pPr>
      <w:spacing w:after="5"/>
      <w:ind w:left="564"/>
      <w:jc w:val="center"/>
    </w:pPr>
    <w:r>
      <w:rPr>
        <w:rFonts w:ascii="Times New Roman" w:eastAsia="Times New Roman" w:hAnsi="Times New Roman" w:cs="Times New Roman"/>
        <w:sz w:val="15"/>
      </w:rPr>
      <w:t xml:space="preserve">Poradnia Psychologiczno Pedagogiczna Nr </w:t>
    </w:r>
    <w:r>
      <w:rPr>
        <w:rFonts w:ascii="Times New Roman" w:eastAsia="Times New Roman" w:hAnsi="Times New Roman" w:cs="Times New Roman"/>
        <w:sz w:val="15"/>
      </w:rPr>
      <w:t>12</w:t>
    </w:r>
  </w:p>
  <w:p w:rsidR="004736AC" w:rsidRDefault="00FE6E7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4736AC" w:rsidRDefault="00FE6E7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1564"/>
    <w:multiLevelType w:val="hybridMultilevel"/>
    <w:tmpl w:val="C81ED074"/>
    <w:lvl w:ilvl="0" w:tplc="9666704E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163CC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98B07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8FC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E52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A98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4CD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3EEE9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6FF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304C7"/>
    <w:multiLevelType w:val="multilevel"/>
    <w:tmpl w:val="CEA2B74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AC"/>
    <w:rsid w:val="004736AC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CB11-F388-4140-957B-411EA726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2683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5907</Words>
  <Characters>35444</Characters>
  <Application>Microsoft Office Word</Application>
  <DocSecurity>0</DocSecurity>
  <Lines>295</Lines>
  <Paragraphs>82</Paragraphs>
  <ScaleCrop>false</ScaleCrop>
  <Company/>
  <LinksUpToDate>false</LinksUpToDate>
  <CharactersWithSpaces>41269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2021-05-07T08:00:00Z</dcterms:created>
  <dcterms:modified xsi:type="dcterms:W3CDTF">2021-05-07T08:00:00Z</dcterms:modified>
</cp:coreProperties>
</file>