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2C" w:rsidRDefault="00CC0058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P13/SR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4"/>
        <w:gridCol w:w="622"/>
        <w:gridCol w:w="996"/>
        <w:gridCol w:w="1458"/>
        <w:gridCol w:w="351"/>
        <w:gridCol w:w="1832"/>
        <w:gridCol w:w="996"/>
        <w:gridCol w:w="962"/>
      </w:tblGrid>
      <w:tr w:rsidR="0075222C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5222C" w:rsidRDefault="00CC0058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5222C" w:rsidRDefault="00CC0058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5222C" w:rsidRDefault="00CC0058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75222C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5222C" w:rsidRDefault="00CC0058">
            <w:pPr>
              <w:spacing w:after="0"/>
            </w:pPr>
            <w:r>
              <w:rPr>
                <w:sz w:val="11"/>
              </w:rPr>
              <w:t>Przedszkole nr 13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5222C" w:rsidRDefault="00CC0058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5222C" w:rsidRDefault="00CC0058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5222C" w:rsidRDefault="00CC0058">
            <w:pPr>
              <w:spacing w:after="0"/>
            </w:pPr>
            <w:r>
              <w:rPr>
                <w:sz w:val="11"/>
              </w:rPr>
              <w:t>ul. Schillera 6a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5222C" w:rsidRDefault="00CC0058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5222C" w:rsidRDefault="0075222C"/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5222C" w:rsidRDefault="00CC0058">
            <w:pPr>
              <w:spacing w:after="0"/>
            </w:pPr>
            <w:r>
              <w:rPr>
                <w:sz w:val="11"/>
              </w:rPr>
              <w:t>00-248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5222C" w:rsidRDefault="00CC0058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5222C" w:rsidRDefault="00CC0058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75222C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5222C" w:rsidRDefault="00CC0058">
            <w:pPr>
              <w:spacing w:after="0"/>
            </w:pPr>
            <w:r>
              <w:rPr>
                <w:sz w:val="11"/>
              </w:rPr>
              <w:t>tel. 228317497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5222C" w:rsidRDefault="00CC0058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 xml:space="preserve">sporządzony na dzień </w:t>
            </w:r>
            <w:r>
              <w:rPr>
                <w:sz w:val="13"/>
              </w:rPr>
              <w:t>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5222C" w:rsidRDefault="00CC0058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75222C" w:rsidRDefault="00CC0058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75222C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5222C" w:rsidRDefault="00CC0058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75222C" w:rsidRDefault="00CC0058">
            <w:pPr>
              <w:spacing w:after="0"/>
            </w:pPr>
            <w:r>
              <w:rPr>
                <w:sz w:val="11"/>
              </w:rPr>
              <w:t>013004829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75222C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75222C"/>
        </w:tc>
      </w:tr>
      <w:tr w:rsidR="0075222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5222C" w:rsidRDefault="00CC0058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5222C" w:rsidRDefault="00CC0058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75222C" w:rsidRDefault="00CC0058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5222C" w:rsidRDefault="00CC0058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5222C" w:rsidRDefault="00CC0058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5222C" w:rsidRDefault="00CC0058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222C" w:rsidRDefault="00CC0058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294 744,58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75222C" w:rsidRDefault="00CC0058">
            <w:pPr>
              <w:spacing w:after="0"/>
              <w:ind w:left="309"/>
            </w:pPr>
            <w:r>
              <w:rPr>
                <w:b/>
                <w:sz w:val="13"/>
              </w:rPr>
              <w:t>284 267,81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222C" w:rsidRDefault="00CC0058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182 521,87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181 889,24</w:t>
            </w:r>
          </w:p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</w:t>
            </w:r>
            <w:r>
              <w:rPr>
                <w:b/>
                <w:sz w:val="13"/>
              </w:rPr>
              <w:t xml:space="preserve">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1 602 446,78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1 517 002,13</w:t>
            </w:r>
          </w:p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294 744,58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left="309"/>
            </w:pPr>
            <w:r>
              <w:rPr>
                <w:b/>
                <w:sz w:val="13"/>
              </w:rPr>
              <w:t>284 267,81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-1 418 451,48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-1 333 648,59</w:t>
            </w:r>
          </w:p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294 744,58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left="310"/>
            </w:pPr>
            <w:r>
              <w:rPr>
                <w:sz w:val="13"/>
              </w:rPr>
              <w:t>284 267,81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172"/>
            </w:pPr>
            <w:r>
              <w:rPr>
                <w:sz w:val="13"/>
              </w:rPr>
              <w:t xml:space="preserve">1.1. </w:t>
            </w:r>
            <w:r>
              <w:rPr>
                <w:sz w:val="13"/>
              </w:rPr>
              <w:t>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-1 418 451,48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-1 333 648,59</w:t>
            </w:r>
          </w:p>
        </w:tc>
      </w:tr>
      <w:tr w:rsidR="0075222C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wyniku finansowego (nadwyżka </w:t>
            </w:r>
            <w:r>
              <w:rPr>
                <w:b/>
                <w:sz w:val="13"/>
              </w:rPr>
              <w:t>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-1 473,43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-1 464,30</w:t>
            </w:r>
          </w:p>
        </w:tc>
      </w:tr>
      <w:tr w:rsidR="0075222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293 302,91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left="310"/>
            </w:pPr>
            <w:r>
              <w:rPr>
                <w:sz w:val="13"/>
              </w:rPr>
              <w:t>283 526,14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1 441,67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sz w:val="13"/>
              </w:rPr>
              <w:t>741,67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117 064,61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112 936,92</w:t>
            </w:r>
          </w:p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I. Zobowiązania </w:t>
            </w:r>
            <w:r>
              <w:rPr>
                <w:b/>
                <w:sz w:val="13"/>
              </w:rPr>
              <w:t>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117 064,61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112 936,92</w:t>
            </w:r>
          </w:p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5 652,56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9 060,40</w:t>
            </w:r>
          </w:p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IV. </w:t>
            </w:r>
            <w:r>
              <w:rPr>
                <w:b/>
                <w:sz w:val="13"/>
              </w:rPr>
              <w:t>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11 838,43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10 944,30</w:t>
            </w:r>
          </w:p>
        </w:tc>
      </w:tr>
      <w:tr w:rsidR="0075222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49 167,80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43 049,63</w:t>
            </w:r>
          </w:p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34"/>
            </w:pPr>
            <w:r>
              <w:rPr>
                <w:sz w:val="13"/>
              </w:rPr>
              <w:t xml:space="preserve"> 4. Zobowiązania</w:t>
            </w:r>
            <w:r>
              <w:rPr>
                <w:sz w:val="13"/>
              </w:rPr>
              <w:t xml:space="preserve">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50 065,82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49 451,59</w:t>
            </w:r>
          </w:p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340,00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431,00</w:t>
            </w:r>
          </w:p>
        </w:tc>
      </w:tr>
      <w:tr w:rsidR="0075222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75222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4 841,90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10 558,35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75222C" w:rsidRDefault="00CC005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75222C" w:rsidRDefault="00CC0058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848,14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6 537,20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848,14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sz w:val="13"/>
              </w:rPr>
              <w:t>6 537,20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 xml:space="preserve">8.1. Zakładowy Fundusz </w:t>
            </w:r>
            <w:r>
              <w:rPr>
                <w:sz w:val="13"/>
              </w:rPr>
              <w:t>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II. Należności </w:t>
            </w:r>
            <w:r>
              <w:rPr>
                <w:b/>
                <w:sz w:val="13"/>
              </w:rPr>
              <w:t>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1 526,25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1 833,25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75222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75222C"/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75222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75222C"/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75222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75222C"/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75222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75222C"/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1 526,25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sz w:val="13"/>
              </w:rPr>
              <w:t>1 833,25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75222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75222C"/>
        </w:tc>
      </w:tr>
      <w:tr w:rsidR="0075222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114"/>
            </w:pPr>
            <w:r>
              <w:rPr>
                <w:sz w:val="13"/>
              </w:rPr>
              <w:t xml:space="preserve">5. </w:t>
            </w:r>
            <w:r>
              <w:rPr>
                <w:sz w:val="13"/>
              </w:rPr>
              <w:t>Rozliczenia z tytułu środków na wydatki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75222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75222C"/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1 473,43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1 464,30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75222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75222C"/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75222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75222C"/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1 473,43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sz w:val="13"/>
              </w:rPr>
              <w:t xml:space="preserve">1 </w:t>
            </w:r>
            <w:r>
              <w:rPr>
                <w:sz w:val="13"/>
              </w:rPr>
              <w:t>464,30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75222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75222C"/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75222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75222C"/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75222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75222C"/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75222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75222C"/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75222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75222C"/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75222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75222C"/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IV. </w:t>
            </w:r>
            <w:r>
              <w:rPr>
                <w:b/>
                <w:sz w:val="13"/>
              </w:rPr>
              <w:t>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994,08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5222C" w:rsidRDefault="00CC005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723,60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CC005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75222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222C" w:rsidRDefault="0075222C"/>
        </w:tc>
      </w:tr>
      <w:tr w:rsidR="0075222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5222C" w:rsidRDefault="00CC0058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299 586,48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75222C" w:rsidRDefault="00CC0058">
            <w:pPr>
              <w:spacing w:after="0"/>
              <w:ind w:left="309"/>
            </w:pPr>
            <w:r>
              <w:rPr>
                <w:b/>
                <w:sz w:val="13"/>
              </w:rPr>
              <w:t>294 826,16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5222C" w:rsidRDefault="00CC0058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299 586,48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3"/>
              </w:rPr>
              <w:t>294 826,16</w:t>
            </w:r>
          </w:p>
        </w:tc>
      </w:tr>
      <w:tr w:rsidR="0075222C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22C" w:rsidRDefault="00CC0058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75222C" w:rsidRDefault="00CC0058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22C" w:rsidRDefault="00CC0058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75222C" w:rsidRDefault="00CC0058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22C" w:rsidRDefault="00CC0058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75222C" w:rsidRDefault="00CC0058">
            <w:pPr>
              <w:spacing w:after="0"/>
              <w:ind w:left="1497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75222C" w:rsidRDefault="00CC0058">
      <w:pPr>
        <w:spacing w:after="306"/>
        <w:ind w:left="127"/>
        <w:jc w:val="center"/>
      </w:pPr>
      <w:r>
        <w:rPr>
          <w:sz w:val="11"/>
        </w:rPr>
        <w:t>Strona 1 z 1</w:t>
      </w:r>
    </w:p>
    <w:p w:rsidR="0075222C" w:rsidRDefault="00CC0058">
      <w:pPr>
        <w:spacing w:after="0"/>
      </w:pPr>
      <w:r>
        <w:rPr>
          <w:sz w:val="11"/>
        </w:rPr>
        <w:t>Finanse VULCAN wersja 21.03.0009.29329, VULCAN sp. z o.o., licencja: warszawasrodmiescie, Finanse VULCAN lic. 010860, Dzielnicowe Biuro Finansów Oświaty -</w:t>
      </w:r>
      <w:r>
        <w:rPr>
          <w:sz w:val="11"/>
        </w:rPr>
        <w:t xml:space="preserve"> Śródmieście m. st. Warszawy, 00-375 Warszawa, Smolna 10A</w:t>
      </w:r>
    </w:p>
    <w:p w:rsidR="0075222C" w:rsidRDefault="00CC0058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P13/SR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75222C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5222C" w:rsidRDefault="0075222C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75222C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5222C" w:rsidRDefault="00CC0058">
            <w:pPr>
              <w:spacing w:after="0"/>
            </w:pPr>
            <w:r>
              <w:rPr>
                <w:sz w:val="13"/>
              </w:rPr>
              <w:t>Przedszkole nr 13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5222C" w:rsidRDefault="00CC0058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5222C" w:rsidRDefault="00CC0058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75222C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5222C" w:rsidRDefault="00CC0058">
            <w:pPr>
              <w:spacing w:after="0"/>
            </w:pPr>
            <w:r>
              <w:rPr>
                <w:sz w:val="13"/>
              </w:rPr>
              <w:t>ul. Schillera 6a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5222C" w:rsidRDefault="00CC0058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5222C" w:rsidRDefault="0075222C"/>
        </w:tc>
      </w:tr>
      <w:tr w:rsidR="0075222C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5222C" w:rsidRDefault="00CC0058">
            <w:pPr>
              <w:spacing w:after="0"/>
            </w:pPr>
            <w:r>
              <w:rPr>
                <w:sz w:val="13"/>
              </w:rPr>
              <w:t>00-248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5222C" w:rsidRDefault="00CC0058">
            <w:pPr>
              <w:spacing w:after="0"/>
              <w:ind w:left="78"/>
              <w:jc w:val="center"/>
            </w:pPr>
            <w:r>
              <w:rPr>
                <w:sz w:val="15"/>
              </w:rPr>
              <w:t xml:space="preserve">na dzień </w:t>
            </w:r>
            <w:r>
              <w:rPr>
                <w:sz w:val="15"/>
              </w:rPr>
              <w:t>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5222C" w:rsidRDefault="0075222C"/>
        </w:tc>
      </w:tr>
      <w:tr w:rsidR="0075222C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5222C" w:rsidRDefault="00CC0058">
            <w:pPr>
              <w:spacing w:after="0"/>
            </w:pPr>
            <w:r>
              <w:rPr>
                <w:sz w:val="13"/>
              </w:rPr>
              <w:t>tel. 228317497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5222C" w:rsidRDefault="00CC0058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5222C" w:rsidRDefault="00CC0058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75222C" w:rsidRDefault="00CC0058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75222C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5222C" w:rsidRDefault="00CC0058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75222C" w:rsidRDefault="00CC0058">
            <w:pPr>
              <w:spacing w:after="0"/>
            </w:pPr>
            <w:r>
              <w:rPr>
                <w:sz w:val="13"/>
              </w:rPr>
              <w:t>013004829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</w:tr>
      <w:tr w:rsidR="0075222C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5222C" w:rsidRDefault="0075222C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5222C" w:rsidRDefault="00CC0058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5222C" w:rsidRDefault="00CC0058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222C" w:rsidRDefault="00CC0058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5"/>
              </w:rPr>
              <w:t>131 481,75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5"/>
              </w:rPr>
              <w:t>99 257,90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 xml:space="preserve">I. Przychody </w:t>
            </w:r>
            <w:r>
              <w:rPr>
                <w:sz w:val="15"/>
              </w:rPr>
              <w:t>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131 481,75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99 257,90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 xml:space="preserve">IV. Przychody netto ze </w:t>
            </w:r>
            <w:r>
              <w:rPr>
                <w:sz w:val="15"/>
              </w:rPr>
              <w:t>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5"/>
              </w:rPr>
              <w:t>1 550 273,72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5"/>
              </w:rPr>
              <w:t>1 476 792,71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10 476,77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10 476,77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223 778,90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185 361,79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58 410,25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63 662,00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4 428,00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2 776,10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1 006 792,23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966 069,34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235 484,58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 xml:space="preserve">237 </w:t>
            </w:r>
            <w:r>
              <w:rPr>
                <w:sz w:val="15"/>
              </w:rPr>
              <w:t>100,63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9 399,99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10 398,08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1 503,00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948,00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b/>
                <w:sz w:val="15"/>
              </w:rPr>
              <w:t>C. Zysk (strata) z działalności podstawowej</w:t>
            </w:r>
            <w:r>
              <w:rPr>
                <w:b/>
                <w:sz w:val="15"/>
              </w:rPr>
              <w:t xml:space="preserve">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5"/>
              </w:rPr>
              <w:t>-1 418 791,97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5"/>
              </w:rPr>
              <w:t>-1 377 534,81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5"/>
              </w:rPr>
              <w:t>314,49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5"/>
              </w:rPr>
              <w:t>43 882,60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314,49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43 882,60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75222C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b/>
                <w:sz w:val="15"/>
              </w:rPr>
              <w:lastRenderedPageBreak/>
              <w:t xml:space="preserve">F. Zysk (strata) z działalności </w:t>
            </w:r>
            <w:r>
              <w:rPr>
                <w:b/>
                <w:sz w:val="15"/>
              </w:rPr>
              <w:t>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5"/>
              </w:rPr>
              <w:t>-1 418 477,48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5"/>
              </w:rPr>
              <w:t>-1 333 652,21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5"/>
              </w:rPr>
              <w:t>26,00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5"/>
              </w:rPr>
              <w:t>3,62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26,00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3,62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b/>
                <w:sz w:val="15"/>
              </w:rPr>
              <w:t xml:space="preserve">I. Zysk </w:t>
            </w:r>
            <w:r>
              <w:rPr>
                <w:b/>
                <w:sz w:val="15"/>
              </w:rPr>
              <w:t>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5"/>
              </w:rPr>
              <w:t>-1 418 451,48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5"/>
              </w:rPr>
              <w:t>-1 333 648,59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5"/>
              </w:rPr>
              <w:t>-1 418 451,48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5"/>
              </w:rPr>
              <w:t>-1 333 648,59</w:t>
            </w:r>
          </w:p>
        </w:tc>
      </w:tr>
    </w:tbl>
    <w:p w:rsidR="0075222C" w:rsidRDefault="00CC0058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75222C" w:rsidRDefault="00CC0058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75222C" w:rsidRDefault="00CC0058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75222C" w:rsidRDefault="00CC0058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75222C" w:rsidRDefault="00CC0058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75222C" w:rsidRDefault="00CC0058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>21.03.0009.29329, VULCAN sp. z o.o., licencja: warszawasrodmiescie, Finanse VULCAN lic. 010860, Dzielnicowe Biuro Finansów Oświaty - Śródmieście m. st. Warszawy, 00-375 Warszawa, Smolna 10A</w:t>
      </w:r>
    </w:p>
    <w:p w:rsidR="0075222C" w:rsidRDefault="00CC0058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P13/SR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75222C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5222C" w:rsidRDefault="0075222C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75222C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75222C" w:rsidRDefault="00CC0058">
            <w:pPr>
              <w:spacing w:after="0"/>
            </w:pPr>
            <w:r>
              <w:rPr>
                <w:sz w:val="13"/>
              </w:rPr>
              <w:t>Przedszkole nr 13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5222C" w:rsidRDefault="00CC0058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5222C" w:rsidRDefault="00CC0058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75222C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5222C" w:rsidRDefault="00CC0058">
            <w:pPr>
              <w:spacing w:after="0"/>
            </w:pPr>
            <w:r>
              <w:rPr>
                <w:sz w:val="13"/>
              </w:rPr>
              <w:t>ul. Schillera 6a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5222C" w:rsidRDefault="00CC0058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5222C" w:rsidRDefault="0075222C"/>
        </w:tc>
      </w:tr>
      <w:tr w:rsidR="0075222C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5222C" w:rsidRDefault="00CC0058">
            <w:pPr>
              <w:spacing w:after="0"/>
              <w:ind w:right="2513"/>
            </w:pPr>
            <w:r>
              <w:rPr>
                <w:sz w:val="13"/>
              </w:rPr>
              <w:t>00-248 Warszawa tel. 228317497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5222C" w:rsidRDefault="00CC0058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75222C" w:rsidRDefault="00CC0058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75222C" w:rsidRDefault="00CC0058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75222C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5222C" w:rsidRDefault="00CC0058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75222C" w:rsidRDefault="00CC0058">
            <w:pPr>
              <w:spacing w:after="0"/>
            </w:pPr>
            <w:r>
              <w:rPr>
                <w:sz w:val="13"/>
              </w:rPr>
              <w:t>013004829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</w:tr>
      <w:tr w:rsidR="0075222C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center"/>
          </w:tcPr>
          <w:p w:rsidR="0075222C" w:rsidRDefault="0075222C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5222C" w:rsidRDefault="00CC0058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5222C" w:rsidRDefault="00CC0058">
            <w:pPr>
              <w:spacing w:after="0"/>
              <w:jc w:val="center"/>
            </w:pPr>
            <w:r>
              <w:rPr>
                <w:sz w:val="16"/>
              </w:rPr>
              <w:t xml:space="preserve">Stan </w:t>
            </w:r>
            <w:r>
              <w:rPr>
                <w:sz w:val="16"/>
              </w:rPr>
              <w:t>na koniec roku bieżącego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222C" w:rsidRDefault="00CC0058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5"/>
              </w:rPr>
              <w:t>1 526 493,50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5"/>
              </w:rPr>
              <w:t>1 602 446,78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1 400 652,83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1 334 681,26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1 400 652,83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1</w:t>
            </w:r>
            <w:r>
              <w:rPr>
                <w:sz w:val="15"/>
              </w:rPr>
              <w:t xml:space="preserve"> 334 681,26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5222C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w budowie oraz wartości </w:t>
            </w:r>
            <w:r>
              <w:rPr>
                <w:sz w:val="15"/>
              </w:rPr>
              <w:t>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1.10. Inne</w:t>
            </w:r>
            <w:r>
              <w:rPr>
                <w:sz w:val="15"/>
              </w:rPr>
              <w:t xml:space="preserve">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1 324 699,55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1 420 125,91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1 323 862,97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1 418 451,48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314,49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201,00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 xml:space="preserve">2.3. Rozliczenie wyniku finansowego i środków </w:t>
            </w:r>
            <w:r>
              <w:rPr>
                <w:sz w:val="15"/>
              </w:rPr>
              <w:t>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522,09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1 473,43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5222C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budowie oraz </w:t>
            </w:r>
            <w:r>
              <w:rPr>
                <w:sz w:val="15"/>
              </w:rPr>
              <w:t>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b/>
                <w:sz w:val="15"/>
              </w:rPr>
              <w:t>II. Fundusz jednostki na koniec</w:t>
            </w:r>
            <w:r>
              <w:rPr>
                <w:b/>
                <w:sz w:val="15"/>
              </w:rPr>
              <w:t xml:space="preserve">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5"/>
              </w:rPr>
              <w:t>1 602 446,78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5"/>
              </w:rPr>
              <w:t>1 517 002,13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5"/>
              </w:rPr>
              <w:t>-1 419 924,91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5"/>
              </w:rPr>
              <w:t>-1 335 112,89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-1 418 451,48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-1 333 648,59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1 473,43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sz w:val="15"/>
              </w:rPr>
              <w:t>1 464,30</w:t>
            </w:r>
          </w:p>
        </w:tc>
      </w:tr>
      <w:tr w:rsidR="0075222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b/>
                <w:sz w:val="15"/>
              </w:rPr>
              <w:t>IV. Fundusz</w:t>
            </w:r>
            <w:r>
              <w:rPr>
                <w:b/>
                <w:sz w:val="15"/>
              </w:rPr>
              <w:t xml:space="preserve">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5"/>
              </w:rPr>
              <w:t>182 521,87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b/>
                <w:sz w:val="15"/>
              </w:rPr>
              <w:t>181 889,24</w:t>
            </w:r>
          </w:p>
        </w:tc>
      </w:tr>
    </w:tbl>
    <w:p w:rsidR="0075222C" w:rsidRDefault="00CC0058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75222C" w:rsidRDefault="00CC0058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75222C" w:rsidRDefault="00CC0058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75222C" w:rsidRDefault="00CC0058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</w:t>
      </w:r>
      <w:r>
        <w:rPr>
          <w:sz w:val="15"/>
        </w:rPr>
        <w:t>jednostki</w:t>
      </w:r>
    </w:p>
    <w:p w:rsidR="0075222C" w:rsidRDefault="00CC0058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75222C" w:rsidRDefault="00CC0058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Warszawa, Smolna 10A</w:t>
      </w:r>
    </w:p>
    <w:p w:rsidR="0075222C" w:rsidRDefault="0075222C">
      <w:pPr>
        <w:sectPr w:rsidR="0075222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75222C" w:rsidRDefault="00CC0058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75222C" w:rsidRDefault="00CC0058">
      <w:pPr>
        <w:pStyle w:val="Nagwek1"/>
        <w:numPr>
          <w:ilvl w:val="0"/>
          <w:numId w:val="0"/>
        </w:numPr>
        <w:spacing w:after="0" w:line="259" w:lineRule="auto"/>
        <w:ind w:left="2674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75222C" w:rsidRDefault="00CC0058">
      <w:pPr>
        <w:spacing w:after="1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75222C" w:rsidRDefault="00CC0058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75222C" w:rsidRDefault="00CC0058">
      <w:pPr>
        <w:spacing w:after="40" w:line="247" w:lineRule="auto"/>
        <w:ind w:right="8299"/>
      </w:pP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5222C" w:rsidRDefault="00CC0058">
      <w:pPr>
        <w:numPr>
          <w:ilvl w:val="0"/>
          <w:numId w:val="1"/>
        </w:numPr>
        <w:spacing w:after="0"/>
        <w:ind w:hanging="360"/>
      </w:pPr>
      <w:r>
        <w:rPr>
          <w:rFonts w:ascii="Book Antiqua" w:eastAsia="Book Antiqua" w:hAnsi="Book Antiqua" w:cs="Book Antiqua"/>
          <w:b/>
        </w:rPr>
        <w:t xml:space="preserve">Informacje o Przedszkolu  Nr 13 </w:t>
      </w:r>
    </w:p>
    <w:p w:rsidR="0075222C" w:rsidRDefault="00CC0058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75222C" w:rsidRDefault="00CC0058">
      <w:pPr>
        <w:numPr>
          <w:ilvl w:val="1"/>
          <w:numId w:val="1"/>
        </w:numPr>
        <w:spacing w:after="3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75222C" w:rsidRDefault="00CC0058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222C" w:rsidRDefault="00CC0058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Przedszkole  Nr  13 </w:t>
      </w:r>
    </w:p>
    <w:p w:rsidR="0075222C" w:rsidRDefault="00CC0058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222C" w:rsidRDefault="00CC0058">
      <w:pPr>
        <w:numPr>
          <w:ilvl w:val="1"/>
          <w:numId w:val="1"/>
        </w:numPr>
        <w:spacing w:after="3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75222C" w:rsidRDefault="00CC0058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222C" w:rsidRDefault="00CC0058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Leona Schillera 6 a       00-248  Warszawa </w:t>
      </w:r>
    </w:p>
    <w:p w:rsidR="0075222C" w:rsidRDefault="00CC0058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222C" w:rsidRDefault="00CC0058">
      <w:pPr>
        <w:numPr>
          <w:ilvl w:val="1"/>
          <w:numId w:val="1"/>
        </w:numPr>
        <w:spacing w:after="3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75222C" w:rsidRDefault="00CC0058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222C" w:rsidRDefault="00CC0058">
      <w:pPr>
        <w:pStyle w:val="Nagwek1"/>
        <w:numPr>
          <w:ilvl w:val="0"/>
          <w:numId w:val="0"/>
        </w:numPr>
      </w:pPr>
      <w:r>
        <w:t xml:space="preserve">ul. Leona Schillera 6 a       00-248  Warszawa </w:t>
      </w:r>
    </w:p>
    <w:p w:rsidR="0075222C" w:rsidRDefault="00CC0058">
      <w:pPr>
        <w:spacing w:after="0"/>
        <w:ind w:left="9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5222C" w:rsidRDefault="00CC0058">
      <w:pPr>
        <w:spacing w:after="22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222C" w:rsidRDefault="00CC0058">
      <w:pPr>
        <w:spacing w:after="3" w:line="268" w:lineRule="auto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1.4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  </w:t>
      </w:r>
    </w:p>
    <w:p w:rsidR="0075222C" w:rsidRDefault="00CC0058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222C" w:rsidRDefault="00CC0058">
      <w:pPr>
        <w:spacing w:after="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5222C" w:rsidRDefault="00CC0058">
      <w:pPr>
        <w:spacing w:after="3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Przedszkola jest działalność edukacyjna, wychowawcza  i opiekuńcza w zakresie wychowania przedszkolnego.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5222C" w:rsidRDefault="00CC0058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5222C" w:rsidRDefault="00CC0058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75222C" w:rsidRDefault="00CC0058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222C" w:rsidRDefault="00CC0058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75222C" w:rsidRDefault="00CC0058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222C" w:rsidRDefault="00CC0058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Wskazanie, że sprawozdanie zawiera dane łączne </w:t>
      </w:r>
    </w:p>
    <w:p w:rsidR="0075222C" w:rsidRDefault="00CC0058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222C" w:rsidRDefault="00CC0058">
      <w:pPr>
        <w:spacing w:after="3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75222C" w:rsidRDefault="00CC0058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222C" w:rsidRDefault="00CC0058">
      <w:pPr>
        <w:pStyle w:val="Nagwek1"/>
        <w:ind w:left="911" w:hanging="360"/>
      </w:pPr>
      <w:r>
        <w:t xml:space="preserve">Przyjęte zasady (polityki) rachunkowości, w tym metody wyceny aktywów  i pasywów   </w:t>
      </w:r>
    </w:p>
    <w:p w:rsidR="0075222C" w:rsidRDefault="00CC0058">
      <w:pPr>
        <w:spacing w:after="3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>W roku obrotowym 2020 stosowano zasady wynikające z ustawy z dnia 29 września 1994 r. o rachunkowości (Dz. U. z 2019 poz. 351 t. j.), z uwzględnieniem szc</w:t>
      </w:r>
      <w:r>
        <w:rPr>
          <w:rFonts w:ascii="Times New Roman" w:eastAsia="Times New Roman" w:hAnsi="Times New Roman" w:cs="Times New Roman"/>
          <w:sz w:val="24"/>
        </w:rPr>
        <w:t xml:space="preserve">zególnych zasad wyceny zawartych w rozporządzeniu Ministra finansów z dnia </w:t>
      </w:r>
    </w:p>
    <w:p w:rsidR="0075222C" w:rsidRDefault="00CC0058">
      <w:pPr>
        <w:spacing w:after="0"/>
        <w:ind w:right="1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13 września 2017 r. w sprawie szczególnych zasad rachunkowości oraz planów kont </w:t>
      </w:r>
    </w:p>
    <w:p w:rsidR="0075222C" w:rsidRDefault="00CC0058">
      <w:pPr>
        <w:spacing w:after="3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>dla budżetu państwa, budżetów jednostek samorządu terytorialnego, jednostek budżetowych, samorządowych zakładów budżetowych, państwowych funduszy celowych oraz państwowych jednostek budżetowych mających siedzibę poza granicami Rzeczypospolitej Polskiej (Dz</w:t>
      </w:r>
      <w:r>
        <w:rPr>
          <w:rFonts w:ascii="Times New Roman" w:eastAsia="Times New Roman" w:hAnsi="Times New Roman" w:cs="Times New Roman"/>
          <w:sz w:val="24"/>
        </w:rPr>
        <w:t xml:space="preserve">. U. z 2017 poz. 1911  z późn. zm.). </w:t>
      </w:r>
    </w:p>
    <w:p w:rsidR="0075222C" w:rsidRDefault="00CC0058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222C" w:rsidRDefault="00CC0058">
      <w:pPr>
        <w:numPr>
          <w:ilvl w:val="0"/>
          <w:numId w:val="3"/>
        </w:numPr>
        <w:spacing w:after="38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75222C" w:rsidRDefault="00CC0058">
      <w:pPr>
        <w:numPr>
          <w:ilvl w:val="0"/>
          <w:numId w:val="3"/>
        </w:numPr>
        <w:spacing w:after="39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trwałe wyceniane były na dzie</w:t>
      </w:r>
      <w:r>
        <w:rPr>
          <w:rFonts w:ascii="Times New Roman" w:eastAsia="Times New Roman" w:hAnsi="Times New Roman" w:cs="Times New Roman"/>
          <w:sz w:val="24"/>
        </w:rPr>
        <w:t xml:space="preserve">ń bilansowy według ceny nabycia pomniejszonej o dotychczas dokonane odpisy umorzeniowe; </w:t>
      </w:r>
    </w:p>
    <w:p w:rsidR="0075222C" w:rsidRDefault="00CC0058">
      <w:pPr>
        <w:numPr>
          <w:ilvl w:val="0"/>
          <w:numId w:val="3"/>
        </w:numPr>
        <w:spacing w:after="4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o dotychczas dokonane odpisy umorzeniowe; </w:t>
      </w:r>
    </w:p>
    <w:p w:rsidR="0075222C" w:rsidRDefault="00CC0058">
      <w:pPr>
        <w:numPr>
          <w:ilvl w:val="0"/>
          <w:numId w:val="3"/>
        </w:numPr>
        <w:spacing w:after="37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75222C" w:rsidRDefault="00CC0058">
      <w:pPr>
        <w:numPr>
          <w:ilvl w:val="0"/>
          <w:numId w:val="3"/>
        </w:numPr>
        <w:spacing w:after="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Ewidencję </w:t>
      </w:r>
      <w:r>
        <w:rPr>
          <w:rFonts w:ascii="Times New Roman" w:eastAsia="Times New Roman" w:hAnsi="Times New Roman" w:cs="Times New Roman"/>
          <w:sz w:val="24"/>
        </w:rPr>
        <w:t xml:space="preserve">niskowartościowych przedmiotów i praw o wartości nabycia powyżej 500,00 zł i nie przekraczającej 10 000,00 zł o przewidywanym okresie użytkowania powyżej roku prowadzi się na koncie analitycznym 013 (ewidencja wartościowa).  </w:t>
      </w:r>
    </w:p>
    <w:p w:rsidR="0075222C" w:rsidRDefault="00CC0058">
      <w:pPr>
        <w:spacing w:after="34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W momencie przyjęcia ich do uż</w:t>
      </w:r>
      <w:r>
        <w:rPr>
          <w:rFonts w:ascii="Times New Roman" w:eastAsia="Times New Roman" w:hAnsi="Times New Roman" w:cs="Times New Roman"/>
          <w:sz w:val="24"/>
        </w:rPr>
        <w:t xml:space="preserve">ytkowania dokonuje się jednorazowych odpisów ich wartości nabycia w koszty; </w:t>
      </w:r>
    </w:p>
    <w:p w:rsidR="0075222C" w:rsidRDefault="00CC0058">
      <w:pPr>
        <w:numPr>
          <w:ilvl w:val="0"/>
          <w:numId w:val="3"/>
        </w:numPr>
        <w:spacing w:after="39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 aktualnej</w:t>
      </w:r>
      <w:r>
        <w:rPr>
          <w:rFonts w:ascii="Times New Roman" w:eastAsia="Times New Roman" w:hAnsi="Times New Roman" w:cs="Times New Roman"/>
          <w:sz w:val="24"/>
        </w:rPr>
        <w:t xml:space="preserve"> w momencie otrzymania). Wartość przyjętych nieodpłatnie aktywów, w tym środków obrotowych, w ramach centralnego zaopatrzenia odnosi się w ciężar funduszu jednostki. </w:t>
      </w:r>
    </w:p>
    <w:p w:rsidR="0075222C" w:rsidRDefault="00CC0058">
      <w:pPr>
        <w:numPr>
          <w:ilvl w:val="0"/>
          <w:numId w:val="3"/>
        </w:numPr>
        <w:spacing w:after="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</w:t>
      </w:r>
      <w:r>
        <w:rPr>
          <w:rFonts w:ascii="Times New Roman" w:eastAsia="Times New Roman" w:hAnsi="Times New Roman" w:cs="Times New Roman"/>
          <w:sz w:val="24"/>
        </w:rPr>
        <w:t xml:space="preserve">drębnienie ich tytułów, kontrahentów, podziału na długo  i krótkoterminowe według klasyfikacji wymaganej w raportowaniu budżetowym. Wartość należności na dzień bilansowy aktualizuje się  </w:t>
      </w:r>
    </w:p>
    <w:p w:rsidR="0075222C" w:rsidRDefault="00CC0058">
      <w:pPr>
        <w:spacing w:after="3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z uwzględnieniem prawdopodobieństwa zapłaty oraz stopnia ich przeter</w:t>
      </w:r>
      <w:r>
        <w:rPr>
          <w:rFonts w:ascii="Times New Roman" w:eastAsia="Times New Roman" w:hAnsi="Times New Roman" w:cs="Times New Roman"/>
          <w:sz w:val="24"/>
        </w:rPr>
        <w:t xml:space="preserve">minowania. Odsetki od nieterminowych płatności należności ujmuje się nie później niż pod datą ostatniego dnia kwartału w wysokości odsetek należnych na koniec tego kwartału lub w momencie zapłaty. Odpisy </w:t>
      </w:r>
    </w:p>
    <w:p w:rsidR="0075222C" w:rsidRDefault="00CC0058">
      <w:pPr>
        <w:spacing w:after="37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aktualizujące obciążają pozostałe koszty operacyjne</w:t>
      </w:r>
      <w:r>
        <w:rPr>
          <w:rFonts w:ascii="Times New Roman" w:eastAsia="Times New Roman" w:hAnsi="Times New Roman" w:cs="Times New Roman"/>
          <w:sz w:val="24"/>
        </w:rPr>
        <w:t xml:space="preserve"> i finansowe; </w:t>
      </w:r>
    </w:p>
    <w:p w:rsidR="0075222C" w:rsidRDefault="00CC0058">
      <w:pPr>
        <w:numPr>
          <w:ilvl w:val="0"/>
          <w:numId w:val="3"/>
        </w:numPr>
        <w:spacing w:after="35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kontrahentów, podziału na długo  i krótkoterminowe według klasyfikacji wymaganej w raportowaniu budżetowym. Odpisane, przedawn</w:t>
      </w:r>
      <w:r>
        <w:rPr>
          <w:rFonts w:ascii="Times New Roman" w:eastAsia="Times New Roman" w:hAnsi="Times New Roman" w:cs="Times New Roman"/>
          <w:sz w:val="24"/>
        </w:rPr>
        <w:t xml:space="preserve">ione i umorzone zobowiązania wycenia się  w kwocie wymagającej zapłaty i ujmuje w przychodach finansowych. Rezerwy na zobowiązania nie są tworzone. </w:t>
      </w:r>
    </w:p>
    <w:p w:rsidR="0075222C" w:rsidRDefault="00CC0058">
      <w:pPr>
        <w:numPr>
          <w:ilvl w:val="0"/>
          <w:numId w:val="3"/>
        </w:numPr>
        <w:spacing w:after="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nab</w:t>
      </w:r>
      <w:r>
        <w:rPr>
          <w:rFonts w:ascii="Times New Roman" w:eastAsia="Times New Roman" w:hAnsi="Times New Roman" w:cs="Times New Roman"/>
          <w:sz w:val="24"/>
        </w:rPr>
        <w:t>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5222C" w:rsidRDefault="00CC0058">
      <w:pPr>
        <w:numPr>
          <w:ilvl w:val="0"/>
          <w:numId w:val="3"/>
        </w:numPr>
        <w:spacing w:after="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75222C" w:rsidRDefault="00CC0058">
      <w:pPr>
        <w:numPr>
          <w:ilvl w:val="0"/>
          <w:numId w:val="3"/>
        </w:numPr>
        <w:spacing w:after="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czasie je</w:t>
      </w:r>
      <w:r>
        <w:rPr>
          <w:rFonts w:ascii="Times New Roman" w:eastAsia="Times New Roman" w:hAnsi="Times New Roman" w:cs="Times New Roman"/>
          <w:sz w:val="24"/>
        </w:rPr>
        <w:t xml:space="preserve">st większa niż 0,5 % sumy wartości rozliczeń międzyokresowych za rok poprzedni.   Wydatki na prenumeratę prasy, prowadzenie stron BIP, abonamenty RTV, itp. obciążają koszty w miesiącu i roku ich poniesienia, nie powoduje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 istotnego zniekształcenia wynik</w:t>
      </w:r>
      <w:r>
        <w:rPr>
          <w:rFonts w:ascii="Times New Roman" w:eastAsia="Times New Roman" w:hAnsi="Times New Roman" w:cs="Times New Roman"/>
          <w:sz w:val="24"/>
        </w:rPr>
        <w:t xml:space="preserve">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5222C" w:rsidRDefault="00CC0058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75222C" w:rsidRDefault="00CC0058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222C" w:rsidRDefault="00CC0058">
      <w:pPr>
        <w:pStyle w:val="Nagwek1"/>
        <w:ind w:left="911" w:hanging="360"/>
      </w:pPr>
      <w:r>
        <w:t xml:space="preserve">Inne informacje </w:t>
      </w:r>
    </w:p>
    <w:p w:rsidR="0075222C" w:rsidRDefault="00CC0058">
      <w:pPr>
        <w:spacing w:after="2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5222C" w:rsidRDefault="00CC0058">
      <w:pPr>
        <w:spacing w:after="3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75222C" w:rsidRDefault="00CC005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222C" w:rsidRDefault="00CC005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222C" w:rsidRDefault="00CC005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222C" w:rsidRDefault="00CC005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222C" w:rsidRDefault="00CC005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222C" w:rsidRDefault="0075222C">
      <w:pPr>
        <w:sectPr w:rsidR="0075222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588" w:right="1130" w:bottom="1431" w:left="1702" w:header="859" w:footer="857" w:gutter="0"/>
          <w:cols w:space="708"/>
        </w:sectPr>
      </w:pPr>
    </w:p>
    <w:p w:rsidR="0075222C" w:rsidRDefault="00CC0058">
      <w:pPr>
        <w:spacing w:after="0" w:line="265" w:lineRule="auto"/>
        <w:ind w:left="424" w:right="2968" w:hanging="120"/>
      </w:pPr>
      <w:r>
        <w:rPr>
          <w:rFonts w:ascii="Arial" w:eastAsia="Arial" w:hAnsi="Arial" w:cs="Arial"/>
          <w:sz w:val="15"/>
        </w:rPr>
        <w:t xml:space="preserve">Przedszkole nr 13        ul. Schillera 6a           </w:t>
      </w:r>
    </w:p>
    <w:p w:rsidR="0075222C" w:rsidRDefault="00CC0058">
      <w:pPr>
        <w:spacing w:after="247" w:line="265" w:lineRule="auto"/>
        <w:ind w:left="304" w:right="2968"/>
      </w:pPr>
      <w:r>
        <w:rPr>
          <w:rFonts w:ascii="Arial" w:eastAsia="Arial" w:hAnsi="Arial" w:cs="Arial"/>
          <w:sz w:val="15"/>
        </w:rPr>
        <w:t>00-248 Warszawa</w:t>
      </w:r>
    </w:p>
    <w:tbl>
      <w:tblPr>
        <w:tblStyle w:val="TableGrid"/>
        <w:tblpPr w:vertAnchor="text" w:horzAnchor="margin" w:tblpX="-30" w:tblpY="361"/>
        <w:tblOverlap w:val="never"/>
        <w:tblW w:w="14751" w:type="dxa"/>
        <w:tblInd w:w="0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75222C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75222C" w:rsidRDefault="0075222C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5222C" w:rsidRDefault="0075222C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5222C" w:rsidRDefault="00CC0058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5222C" w:rsidRDefault="0075222C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75222C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5222C" w:rsidRDefault="0075222C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5222C" w:rsidRDefault="0075222C"/>
        </w:tc>
      </w:tr>
      <w:tr w:rsidR="0075222C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75222C" w:rsidRDefault="00CC0058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75222C" w:rsidRDefault="00CC0058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5222C" w:rsidRDefault="0075222C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75222C" w:rsidRDefault="00CC0058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75222C" w:rsidRDefault="00CC005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75222C" w:rsidRDefault="00CC0058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75222C" w:rsidRDefault="00CC00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75222C" w:rsidRDefault="00CC0058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75222C" w:rsidRDefault="00CC0058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75222C" w:rsidRDefault="00CC0058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75222C" w:rsidRDefault="00CC0058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75222C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622 562,77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26 087,46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168 942,63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817 592,86</w:t>
            </w:r>
          </w:p>
        </w:tc>
      </w:tr>
      <w:tr w:rsidR="0075222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6 987,00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6 987,00</w:t>
            </w:r>
          </w:p>
        </w:tc>
      </w:tr>
      <w:tr w:rsidR="0075222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6 987,00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6 987,00</w:t>
            </w:r>
          </w:p>
        </w:tc>
      </w:tr>
      <w:tr w:rsidR="0075222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5222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5222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7 503,00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12 183,77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19 686,77</w:t>
            </w:r>
          </w:p>
        </w:tc>
      </w:tr>
      <w:tr w:rsidR="0075222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7 503,00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12 183,77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19 686,77</w:t>
            </w:r>
          </w:p>
        </w:tc>
      </w:tr>
      <w:tr w:rsidR="0075222C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5222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622 562,77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18 584,46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163 745,86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804 893,09</w:t>
            </w:r>
          </w:p>
        </w:tc>
      </w:tr>
      <w:tr w:rsidR="0075222C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329 259,86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24 645,79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168 942,63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522 848,28</w:t>
            </w:r>
          </w:p>
        </w:tc>
      </w:tr>
      <w:tr w:rsidR="0075222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9 776,77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700,00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6 987,00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17 463,77</w:t>
            </w:r>
          </w:p>
        </w:tc>
      </w:tr>
      <w:tr w:rsidR="0075222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9 776,77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700,00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10 476,77</w:t>
            </w:r>
          </w:p>
        </w:tc>
      </w:tr>
      <w:tr w:rsidR="0075222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6 987,00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6 987,00</w:t>
            </w:r>
          </w:p>
        </w:tc>
      </w:tr>
      <w:tr w:rsidR="0075222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5222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7 503,00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12 183,77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19 686,77</w:t>
            </w:r>
          </w:p>
        </w:tc>
      </w:tr>
      <w:tr w:rsidR="0075222C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7 503,00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12 183,77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19 686,77</w:t>
            </w:r>
          </w:p>
        </w:tc>
      </w:tr>
      <w:tr w:rsidR="0075222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5222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339 036,63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17 842,79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163 745,86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520 625,28</w:t>
            </w:r>
          </w:p>
        </w:tc>
      </w:tr>
      <w:tr w:rsidR="0075222C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5222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5222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293 302,91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1 441,67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294 744,58</w:t>
            </w:r>
          </w:p>
        </w:tc>
      </w:tr>
      <w:tr w:rsidR="0075222C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283 526,14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741,67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284 267,81</w:t>
            </w:r>
          </w:p>
        </w:tc>
      </w:tr>
    </w:tbl>
    <w:p w:rsidR="0075222C" w:rsidRDefault="00CC0058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  <w:r>
        <w:rPr>
          <w:rFonts w:ascii="Book Antiqua" w:eastAsia="Book Antiqua" w:hAnsi="Book Antiqua" w:cs="Book Antiqua"/>
          <w:b/>
          <w:sz w:val="15"/>
        </w:rPr>
        <w:t>Załącznik nr 21</w:t>
      </w:r>
    </w:p>
    <w:p w:rsidR="0075222C" w:rsidRDefault="00CC0058">
      <w:pPr>
        <w:spacing w:after="0" w:line="255" w:lineRule="auto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75222C" w:rsidRDefault="0075222C">
      <w:pPr>
        <w:sectPr w:rsidR="0075222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4" w:h="11904" w:orient="landscape"/>
          <w:pgMar w:top="1440" w:right="861" w:bottom="1368" w:left="300" w:header="458" w:footer="488" w:gutter="0"/>
          <w:cols w:num="2" w:space="708" w:equalWidth="0">
            <w:col w:w="5013" w:space="3784"/>
            <w:col w:w="6875"/>
          </w:cols>
        </w:sectPr>
      </w:pPr>
    </w:p>
    <w:p w:rsidR="0075222C" w:rsidRDefault="00CC0058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>II.1.1.b. Wartości niemater</w:t>
      </w:r>
      <w:r>
        <w:rPr>
          <w:rFonts w:ascii="Times New Roman" w:eastAsia="Times New Roman" w:hAnsi="Times New Roman" w:cs="Times New Roman"/>
          <w:b/>
          <w:sz w:val="17"/>
        </w:rPr>
        <w:t xml:space="preserve">ialne i prawne  - zmiany w ciągu roku obrotowego </w:t>
      </w:r>
    </w:p>
    <w:tbl>
      <w:tblPr>
        <w:tblStyle w:val="TableGrid"/>
        <w:tblW w:w="5620" w:type="dxa"/>
        <w:tblInd w:w="-25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75222C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75222C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5222C" w:rsidRDefault="00CC005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75222C" w:rsidRDefault="0075222C"/>
        </w:tc>
      </w:tr>
      <w:tr w:rsidR="0075222C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5222C" w:rsidRDefault="00CC005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5222C" w:rsidRDefault="0075222C"/>
        </w:tc>
      </w:tr>
      <w:tr w:rsidR="0075222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5222C" w:rsidRDefault="00CC005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5222C" w:rsidRDefault="00CC005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75222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5222C" w:rsidRDefault="00CC005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5222C" w:rsidRDefault="00CC005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5222C" w:rsidRDefault="00CC005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5222C" w:rsidRDefault="00CC005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75222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5222C" w:rsidRDefault="00CC005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5222C" w:rsidRDefault="00CC005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5222C" w:rsidRDefault="00CC005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5222C" w:rsidRDefault="00CC005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75222C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75222C" w:rsidRDefault="00CC005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75222C"/>
        </w:tc>
      </w:tr>
      <w:tr w:rsidR="0075222C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5222C" w:rsidRDefault="00CC005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5222C" w:rsidRDefault="0075222C"/>
        </w:tc>
      </w:tr>
      <w:tr w:rsidR="0075222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5222C" w:rsidRDefault="00CC005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5222C" w:rsidRDefault="00CC005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75222C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5222C" w:rsidRDefault="00CC005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5222C" w:rsidRDefault="00CC005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5222C" w:rsidRDefault="00CC005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5222C" w:rsidRDefault="00CC005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75222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5222C" w:rsidRDefault="00CC005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5222C" w:rsidRDefault="00CC005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5222C" w:rsidRDefault="00CC005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5222C" w:rsidRDefault="00CC005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75222C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CC005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5222C" w:rsidRDefault="00CC005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5222C" w:rsidRDefault="0075222C"/>
        </w:tc>
      </w:tr>
      <w:tr w:rsidR="0075222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5222C" w:rsidRDefault="00CC005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5222C" w:rsidRDefault="00CC005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5222C" w:rsidRDefault="00CC005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5222C" w:rsidRDefault="00CC005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75222C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75222C" w:rsidRDefault="00CC005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5222C" w:rsidRDefault="00CC005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5222C" w:rsidRDefault="00CC005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75222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75222C" w:rsidRDefault="00CC0058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5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75222C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75222C" w:rsidRDefault="00CC005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75222C" w:rsidRDefault="00CC0058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75222C" w:rsidRDefault="00CC0058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75222C" w:rsidRDefault="00CC005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75222C" w:rsidRDefault="00CC0058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75222C" w:rsidRDefault="00CC0058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75222C" w:rsidRDefault="00CC0058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75222C" w:rsidRDefault="00CC0058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75222C" w:rsidRDefault="00CC005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75222C" w:rsidRDefault="00CC0058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75222C" w:rsidRDefault="00CC0058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75222C" w:rsidRDefault="00CC0058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75222C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5222C" w:rsidRDefault="0075222C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5222C" w:rsidRDefault="0075222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75222C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5222C" w:rsidRDefault="0075222C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5222C" w:rsidRDefault="0075222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5222C" w:rsidRDefault="00CC0058">
      <w:pPr>
        <w:spacing w:after="3" w:line="261" w:lineRule="auto"/>
        <w:ind w:right="8274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5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75222C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75222C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5222C" w:rsidRDefault="00CC0058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</w:tbl>
    <w:p w:rsidR="0075222C" w:rsidRDefault="00CC0058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5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75222C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5222C" w:rsidRDefault="0075222C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75222C" w:rsidRDefault="0075222C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75222C" w:rsidRDefault="00CC0058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75222C" w:rsidRDefault="00CC0058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5222C" w:rsidRDefault="0075222C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75222C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75222C" w:rsidRDefault="00CC0058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75222C" w:rsidRDefault="00CC0058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75222C" w:rsidRDefault="00CC00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75222C" w:rsidRDefault="00CC00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75222C" w:rsidRDefault="00CC0058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75222C" w:rsidRDefault="00CC00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5222C" w:rsidRDefault="00CC00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75222C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75222C" w:rsidRDefault="00CC0058">
      <w:pPr>
        <w:numPr>
          <w:ilvl w:val="0"/>
          <w:numId w:val="4"/>
        </w:numPr>
        <w:spacing w:after="3" w:line="261" w:lineRule="auto"/>
        <w:ind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5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75222C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75222C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</w:tbl>
    <w:p w:rsidR="0075222C" w:rsidRDefault="00CC0058">
      <w:pPr>
        <w:numPr>
          <w:ilvl w:val="1"/>
          <w:numId w:val="4"/>
        </w:numPr>
        <w:spacing w:after="3" w:line="261" w:lineRule="auto"/>
        <w:ind w:right="659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5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5222C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75222C" w:rsidRDefault="00CC0058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5222C" w:rsidRDefault="00CC0058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75222C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222C" w:rsidRDefault="00CC0058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75222C" w:rsidRDefault="00CC005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5222C" w:rsidRDefault="0075222C"/>
        </w:tc>
      </w:tr>
      <w:tr w:rsidR="0075222C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222C" w:rsidRDefault="00CC0058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5222C" w:rsidRDefault="0075222C"/>
        </w:tc>
      </w:tr>
      <w:tr w:rsidR="0075222C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222C" w:rsidRDefault="00CC005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5222C" w:rsidRDefault="0075222C"/>
        </w:tc>
      </w:tr>
      <w:tr w:rsidR="0075222C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222C" w:rsidRDefault="00CC005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222C" w:rsidRDefault="00CC005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5222C" w:rsidRDefault="0075222C"/>
        </w:tc>
      </w:tr>
    </w:tbl>
    <w:p w:rsidR="0075222C" w:rsidRDefault="00CC0058">
      <w:pPr>
        <w:numPr>
          <w:ilvl w:val="2"/>
          <w:numId w:val="4"/>
        </w:numPr>
        <w:spacing w:after="3" w:line="261" w:lineRule="auto"/>
        <w:ind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75222C" w:rsidRDefault="00CC0058">
      <w:pPr>
        <w:spacing w:after="0"/>
        <w:ind w:left="405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5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75222C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75222C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75222C" w:rsidRDefault="00CC00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75222C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75222C" w:rsidRDefault="0075222C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75222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5222C" w:rsidRDefault="0075222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75222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75222C"/>
        </w:tc>
      </w:tr>
      <w:tr w:rsidR="0075222C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75222C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75222C" w:rsidRDefault="00CC00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75222C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75222C" w:rsidRDefault="0075222C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75222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5222C" w:rsidRDefault="0075222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5222C" w:rsidRDefault="0075222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75222C"/>
        </w:tc>
      </w:tr>
    </w:tbl>
    <w:p w:rsidR="0075222C" w:rsidRDefault="00CC0058">
      <w:pPr>
        <w:numPr>
          <w:ilvl w:val="2"/>
          <w:numId w:val="4"/>
        </w:numPr>
        <w:spacing w:after="3" w:line="261" w:lineRule="auto"/>
        <w:ind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5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75222C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75222C" w:rsidRDefault="0075222C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75222C" w:rsidRDefault="0075222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75222C" w:rsidRDefault="0075222C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75222C" w:rsidRDefault="00CC0058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75222C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75222C" w:rsidRDefault="0075222C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75222C"/>
        </w:tc>
      </w:tr>
      <w:tr w:rsidR="0075222C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75222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5222C" w:rsidRDefault="00CC0058">
      <w:pPr>
        <w:spacing w:after="24"/>
        <w:ind w:left="-3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75222C" w:rsidRDefault="00CC0058">
      <w:pPr>
        <w:spacing w:after="24"/>
        <w:ind w:left="-3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</w:t>
      </w:r>
      <w:r>
        <w:rPr>
          <w:rFonts w:ascii="Book Antiqua" w:eastAsia="Book Antiqua" w:hAnsi="Book Antiqua" w:cs="Book Antiqua"/>
          <w:sz w:val="14"/>
        </w:rPr>
        <w:t>UoR) - nastąpiła zapłata lub utworzony odpis stał się zbędny.</w:t>
      </w:r>
    </w:p>
    <w:p w:rsidR="0075222C" w:rsidRDefault="00CC0058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75222C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5222C" w:rsidRDefault="00CC0058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75222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75222C" w:rsidRDefault="0075222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75222C" w:rsidRDefault="0075222C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75222C" w:rsidRDefault="0075222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5222C" w:rsidRDefault="0075222C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5222C" w:rsidRDefault="00CC0058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5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5222C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75222C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75222C"/>
        </w:tc>
      </w:tr>
      <w:tr w:rsidR="0075222C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5222C" w:rsidRDefault="00CC0058">
      <w:pPr>
        <w:spacing w:after="138" w:line="261" w:lineRule="auto"/>
        <w:ind w:right="653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5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5222C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75222C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5222C" w:rsidRDefault="00CC0058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5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75222C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75222C" w:rsidRDefault="0075222C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5222C" w:rsidRDefault="0075222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75222C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75222C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75222C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75222C" w:rsidRDefault="0075222C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75222C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75222C" w:rsidRDefault="0075222C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5222C" w:rsidRDefault="0075222C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5222C" w:rsidRDefault="0075222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5222C" w:rsidRDefault="0075222C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75222C"/>
        </w:tc>
      </w:tr>
      <w:tr w:rsidR="0075222C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5222C" w:rsidRDefault="0075222C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5222C" w:rsidRDefault="0075222C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75222C" w:rsidRDefault="0075222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75222C" w:rsidRDefault="0075222C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5222C" w:rsidRDefault="0075222C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5222C" w:rsidRDefault="0075222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5222C" w:rsidRDefault="0075222C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75222C"/>
        </w:tc>
      </w:tr>
      <w:tr w:rsidR="0075222C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5222C" w:rsidRDefault="0075222C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5222C" w:rsidRDefault="0075222C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75222C" w:rsidRDefault="0075222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5222C" w:rsidRDefault="00CC0058">
      <w:pPr>
        <w:spacing w:after="3" w:line="261" w:lineRule="auto"/>
        <w:ind w:right="6345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5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75222C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75222C" w:rsidRDefault="00CC0058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75222C" w:rsidRDefault="00CC0058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75222C" w:rsidRDefault="00CC0058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75222C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75222C"/>
        </w:tc>
      </w:tr>
    </w:tbl>
    <w:p w:rsidR="0075222C" w:rsidRDefault="00CC0058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5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5222C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75222C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5222C" w:rsidRDefault="00CC0058">
      <w:pPr>
        <w:spacing w:after="28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5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5222C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75222C"/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994,08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723,60</w:t>
            </w:r>
          </w:p>
        </w:tc>
      </w:tr>
      <w:tr w:rsidR="0075222C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994,08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723,60</w:t>
            </w:r>
          </w:p>
        </w:tc>
      </w:tr>
      <w:tr w:rsidR="0075222C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994,08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723,60</w:t>
            </w:r>
          </w:p>
        </w:tc>
      </w:tr>
    </w:tbl>
    <w:p w:rsidR="0075222C" w:rsidRDefault="00CC0058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5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5222C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5222C" w:rsidRDefault="00CC0058">
      <w:pPr>
        <w:spacing w:after="3" w:line="261" w:lineRule="auto"/>
        <w:ind w:right="6791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5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5222C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75222C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75222C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5222C" w:rsidRDefault="00CC0058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5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5222C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75222C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54 534,90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18 469,82</w:t>
            </w:r>
          </w:p>
        </w:tc>
      </w:tr>
    </w:tbl>
    <w:p w:rsidR="0075222C" w:rsidRDefault="00CC0058">
      <w:pPr>
        <w:spacing w:after="0" w:line="265" w:lineRule="auto"/>
        <w:ind w:left="2" w:right="4918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75222C" w:rsidRDefault="00CC0058">
      <w:pPr>
        <w:spacing w:after="0"/>
      </w:pPr>
      <w:r>
        <w:br w:type="page"/>
      </w:r>
    </w:p>
    <w:p w:rsidR="0075222C" w:rsidRDefault="00CC0058">
      <w:pPr>
        <w:spacing w:after="187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75222C" w:rsidRDefault="00CC0058">
      <w:pPr>
        <w:spacing w:after="3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krótkoterminowe - zmiany w ciągu roku obrotowego</w:t>
      </w:r>
    </w:p>
    <w:tbl>
      <w:tblPr>
        <w:tblStyle w:val="TableGrid"/>
        <w:tblW w:w="14751" w:type="dxa"/>
        <w:tblInd w:w="-25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75222C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75222C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75222C" w:rsidRDefault="00CC00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5222C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5222C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5222C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5222C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5222C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5222C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5222C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5222C" w:rsidRDefault="0075222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5222C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5222C" w:rsidRDefault="00CC0058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5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5222C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1 526,25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1 833,25</w:t>
            </w:r>
          </w:p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1 526,25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1 833,25</w:t>
            </w:r>
          </w:p>
        </w:tc>
      </w:tr>
      <w:tr w:rsidR="0075222C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1 526,25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1 833,25</w:t>
            </w:r>
          </w:p>
        </w:tc>
      </w:tr>
    </w:tbl>
    <w:p w:rsidR="0075222C" w:rsidRDefault="00CC0058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5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75222C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75222C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75222C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</w:tbl>
    <w:p w:rsidR="0075222C" w:rsidRDefault="00CC0058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75222C" w:rsidRDefault="00CC0058">
      <w:pPr>
        <w:spacing w:after="10"/>
        <w:ind w:right="8384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5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5222C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75222C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5222C" w:rsidRDefault="0075222C"/>
        </w:tc>
      </w:tr>
      <w:tr w:rsidR="0075222C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5222C" w:rsidRDefault="0075222C"/>
        </w:tc>
      </w:tr>
    </w:tbl>
    <w:p w:rsidR="0075222C" w:rsidRDefault="00CC0058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5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75222C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75222C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75222C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43 681,60</w:t>
            </w:r>
          </w:p>
        </w:tc>
      </w:tr>
      <w:tr w:rsidR="0075222C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43 681,60</w:t>
            </w:r>
          </w:p>
        </w:tc>
      </w:tr>
      <w:tr w:rsidR="0075222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43 681,60</w:t>
            </w:r>
          </w:p>
        </w:tc>
      </w:tr>
      <w:tr w:rsidR="0075222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5 789,00</w:t>
            </w:r>
          </w:p>
        </w:tc>
      </w:tr>
      <w:tr w:rsidR="0075222C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5 789,00</w:t>
            </w:r>
          </w:p>
        </w:tc>
      </w:tr>
      <w:tr w:rsidR="0075222C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5 789,00</w:t>
            </w:r>
          </w:p>
        </w:tc>
      </w:tr>
      <w:tr w:rsidR="0075222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</w:tbl>
    <w:p w:rsidR="0075222C" w:rsidRDefault="00CC0058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5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75222C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75222C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</w:tbl>
    <w:p w:rsidR="0075222C" w:rsidRDefault="00CC0058">
      <w:r>
        <w:br w:type="page"/>
      </w:r>
    </w:p>
    <w:p w:rsidR="0075222C" w:rsidRDefault="00CC0058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75222C" w:rsidRDefault="00CC0058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5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75222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75222C"/>
        </w:tc>
      </w:tr>
      <w:tr w:rsidR="0075222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131 481,75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75222C" w:rsidRDefault="00CC0058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99 257,90</w:t>
            </w:r>
          </w:p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131 481,75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97 941,80</w:t>
            </w:r>
          </w:p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1 316,10</w:t>
            </w:r>
          </w:p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131 481,75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99 257,90</w:t>
            </w:r>
          </w:p>
        </w:tc>
      </w:tr>
    </w:tbl>
    <w:p w:rsidR="0075222C" w:rsidRDefault="00CC0058">
      <w:pPr>
        <w:spacing w:after="0"/>
        <w:ind w:right="4096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75222C" w:rsidRDefault="00CC0058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5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5222C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75222C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24 217,10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32 673,60</w:t>
            </w:r>
          </w:p>
        </w:tc>
      </w:tr>
      <w:tr w:rsidR="0075222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30 937,00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27 928,85</w:t>
            </w:r>
          </w:p>
        </w:tc>
      </w:tr>
      <w:tr w:rsidR="0075222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1 456,15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1 259,55</w:t>
            </w:r>
          </w:p>
        </w:tc>
      </w:tr>
      <w:tr w:rsidR="0075222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1 800,00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1 800,00</w:t>
            </w:r>
          </w:p>
        </w:tc>
      </w:tr>
      <w:tr w:rsidR="0075222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58 410,25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63 662,00</w:t>
            </w:r>
          </w:p>
        </w:tc>
      </w:tr>
    </w:tbl>
    <w:p w:rsidR="0075222C" w:rsidRDefault="00CC0058">
      <w:pPr>
        <w:numPr>
          <w:ilvl w:val="0"/>
          <w:numId w:val="5"/>
        </w:numPr>
        <w:spacing w:after="3" w:line="261" w:lineRule="auto"/>
        <w:ind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3" w:type="dxa"/>
        <w:tblInd w:w="-25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75222C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75222C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5222C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314,49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43 882,60</w:t>
            </w:r>
          </w:p>
        </w:tc>
      </w:tr>
      <w:tr w:rsidR="0075222C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314,49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43 882,60</w:t>
            </w:r>
          </w:p>
        </w:tc>
      </w:tr>
      <w:tr w:rsidR="0075222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314,49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43 882,60</w:t>
            </w:r>
          </w:p>
        </w:tc>
      </w:tr>
    </w:tbl>
    <w:p w:rsidR="0075222C" w:rsidRDefault="00CC0058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5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75222C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75222C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5222C" w:rsidRDefault="00CC0058">
      <w:r>
        <w:br w:type="page"/>
      </w:r>
    </w:p>
    <w:p w:rsidR="0075222C" w:rsidRDefault="00CC0058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5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75222C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75222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75222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3,62</w:t>
            </w:r>
          </w:p>
        </w:tc>
      </w:tr>
      <w:tr w:rsidR="0075222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26,00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3,62</w:t>
            </w:r>
          </w:p>
        </w:tc>
      </w:tr>
      <w:tr w:rsidR="0075222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3,62</w:t>
            </w:r>
          </w:p>
        </w:tc>
      </w:tr>
    </w:tbl>
    <w:p w:rsidR="0075222C" w:rsidRDefault="00CC0058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5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75222C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75222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75222C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5222C" w:rsidRDefault="0075222C"/>
        </w:tc>
      </w:tr>
      <w:tr w:rsidR="0075222C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5222C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75222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5222C" w:rsidRDefault="00CC0058">
      <w:pPr>
        <w:spacing w:after="0"/>
        <w:ind w:left="7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5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75222C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5222C" w:rsidRDefault="0075222C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75222C" w:rsidRDefault="00CC0058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75222C"/>
        </w:tc>
      </w:tr>
      <w:tr w:rsidR="0075222C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5222C" w:rsidRDefault="00CC0058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5222C" w:rsidRDefault="00CC0058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75222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9 307,87</w:t>
            </w:r>
          </w:p>
        </w:tc>
      </w:tr>
      <w:tr w:rsidR="0075222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9 307,87</w:t>
            </w:r>
          </w:p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5222C" w:rsidRDefault="0075222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5222C" w:rsidRDefault="0075222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5222C" w:rsidRDefault="0075222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9 307,87</w:t>
            </w:r>
          </w:p>
        </w:tc>
      </w:tr>
    </w:tbl>
    <w:p w:rsidR="0075222C" w:rsidRDefault="00CC0058">
      <w:pPr>
        <w:numPr>
          <w:ilvl w:val="1"/>
          <w:numId w:val="5"/>
        </w:numPr>
        <w:spacing w:after="3" w:line="261" w:lineRule="auto"/>
        <w:ind w:right="3774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75222C" w:rsidRDefault="00CC0058">
      <w:pPr>
        <w:numPr>
          <w:ilvl w:val="2"/>
          <w:numId w:val="5"/>
        </w:numPr>
        <w:spacing w:after="3" w:line="261" w:lineRule="auto"/>
        <w:ind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5" w:type="dxa"/>
        <w:tblCellMar>
          <w:top w:w="15" w:type="dxa"/>
          <w:left w:w="28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5222C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5222C" w:rsidRDefault="00CC0058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5222C" w:rsidRDefault="00CC005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75222C" w:rsidRDefault="00CC00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75222C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5222C" w:rsidRDefault="00CC0058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22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222C" w:rsidRDefault="00CC0058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22</w:t>
            </w:r>
          </w:p>
        </w:tc>
      </w:tr>
    </w:tbl>
    <w:p w:rsidR="0075222C" w:rsidRDefault="00CC0058">
      <w:pPr>
        <w:numPr>
          <w:ilvl w:val="2"/>
          <w:numId w:val="5"/>
        </w:numPr>
        <w:spacing w:after="3" w:line="261" w:lineRule="auto"/>
        <w:ind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5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75222C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75222C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75222C" w:rsidRDefault="00CC00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75222C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5222C" w:rsidRDefault="0075222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</w:tbl>
    <w:p w:rsidR="0075222C" w:rsidRDefault="00CC0058">
      <w:pPr>
        <w:numPr>
          <w:ilvl w:val="2"/>
          <w:numId w:val="5"/>
        </w:numPr>
        <w:spacing w:after="3" w:line="261" w:lineRule="auto"/>
        <w:ind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5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5"/>
        <w:gridCol w:w="1672"/>
        <w:gridCol w:w="144"/>
        <w:gridCol w:w="193"/>
        <w:gridCol w:w="1444"/>
        <w:gridCol w:w="2062"/>
        <w:gridCol w:w="47"/>
        <w:gridCol w:w="1485"/>
        <w:gridCol w:w="1668"/>
        <w:gridCol w:w="1303"/>
      </w:tblGrid>
      <w:tr w:rsidR="0075222C">
        <w:trPr>
          <w:gridAfter w:val="1"/>
          <w:wAfter w:w="1303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75222C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5222C" w:rsidRDefault="00CC0058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75222C" w:rsidRDefault="00CC00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5222C" w:rsidRDefault="00CC0058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75222C" w:rsidRDefault="00CC0058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75222C">
        <w:trPr>
          <w:gridAfter w:val="1"/>
          <w:wAfter w:w="1303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gridAfter w:val="1"/>
          <w:wAfter w:w="1303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gridAfter w:val="1"/>
          <w:wAfter w:w="1303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gridAfter w:val="1"/>
          <w:wAfter w:w="1303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gridAfter w:val="1"/>
          <w:wAfter w:w="1303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gridAfter w:val="1"/>
          <w:wAfter w:w="1303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222C" w:rsidRDefault="0075222C"/>
        </w:tc>
        <w:tc>
          <w:tcPr>
            <w:tcW w:w="15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gridAfter w:val="1"/>
          <w:wAfter w:w="1303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5222C" w:rsidRDefault="0075222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rPr>
          <w:gridAfter w:val="1"/>
          <w:wAfter w:w="1303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5222C" w:rsidRDefault="0075222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5222C" w:rsidRDefault="00CC005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5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22C" w:rsidRDefault="0075222C"/>
        </w:tc>
      </w:tr>
      <w:tr w:rsidR="0075222C">
        <w:tblPrEx>
          <w:tblCellMar>
            <w:top w:w="0" w:type="dxa"/>
            <w:right w:w="0" w:type="dxa"/>
          </w:tblCellMar>
        </w:tblPrEx>
        <w:trPr>
          <w:gridBefore w:val="1"/>
          <w:wBefore w:w="105" w:type="dxa"/>
          <w:trHeight w:val="418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22C" w:rsidRDefault="00CC005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22C" w:rsidRDefault="00CC0058">
            <w:pPr>
              <w:spacing w:after="0"/>
              <w:ind w:left="133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</w:t>
            </w:r>
          </w:p>
        </w:tc>
        <w:tc>
          <w:tcPr>
            <w:tcW w:w="4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222C" w:rsidRDefault="00CC0058">
            <w:pPr>
              <w:spacing w:after="0"/>
              <w:ind w:left="307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 ....</w:t>
            </w:r>
          </w:p>
        </w:tc>
      </w:tr>
      <w:tr w:rsidR="0075222C">
        <w:tblPrEx>
          <w:tblCellMar>
            <w:top w:w="0" w:type="dxa"/>
            <w:right w:w="0" w:type="dxa"/>
          </w:tblCellMar>
        </w:tblPrEx>
        <w:trPr>
          <w:gridBefore w:val="1"/>
          <w:wBefore w:w="105" w:type="dxa"/>
          <w:trHeight w:val="205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222C" w:rsidRDefault="00CC0058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222C" w:rsidRDefault="00CC0058">
            <w:pPr>
              <w:spacing w:after="0"/>
              <w:ind w:left="1755"/>
            </w:pPr>
            <w:r>
              <w:rPr>
                <w:rFonts w:ascii="Times New Roman" w:eastAsia="Times New Roman" w:hAnsi="Times New Roman" w:cs="Times New Roman"/>
                <w:sz w:val="17"/>
              </w:rPr>
              <w:t>(rok, miesiąc, dzień)</w:t>
            </w:r>
          </w:p>
        </w:tc>
        <w:tc>
          <w:tcPr>
            <w:tcW w:w="4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222C" w:rsidRDefault="00CC0058">
            <w:pPr>
              <w:spacing w:after="0"/>
              <w:ind w:right="3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jednostki)</w:t>
            </w:r>
          </w:p>
        </w:tc>
      </w:tr>
    </w:tbl>
    <w:p w:rsidR="0075222C" w:rsidRDefault="00CC0058">
      <w:pPr>
        <w:spacing w:after="0"/>
      </w:pPr>
      <w:r>
        <w:rPr>
          <w:rFonts w:ascii="Book Antiqua" w:eastAsia="Book Antiqua" w:hAnsi="Book Antiqua" w:cs="Book Antiqua"/>
          <w:sz w:val="12"/>
        </w:rPr>
        <w:t>Sporządził: Barbara Gadomska</w:t>
      </w:r>
    </w:p>
    <w:sectPr w:rsidR="0075222C">
      <w:type w:val="continuous"/>
      <w:pgSz w:w="16834" w:h="11904" w:orient="landscape"/>
      <w:pgMar w:top="1259" w:right="2577" w:bottom="309" w:left="29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C0058">
      <w:pPr>
        <w:spacing w:after="0" w:line="240" w:lineRule="auto"/>
      </w:pPr>
      <w:r>
        <w:separator/>
      </w:r>
    </w:p>
  </w:endnote>
  <w:endnote w:type="continuationSeparator" w:id="0">
    <w:p w:rsidR="00000000" w:rsidRDefault="00CC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2C" w:rsidRDefault="007522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2C" w:rsidRDefault="0075222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2C" w:rsidRDefault="0075222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2C" w:rsidRDefault="00CC0058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75222C" w:rsidRDefault="00CC0058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2C" w:rsidRDefault="00CC0058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75222C" w:rsidRDefault="00CC0058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2C" w:rsidRDefault="00CC0058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75222C" w:rsidRDefault="00CC0058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</w:t>
    </w:r>
    <w:r>
      <w:rPr>
        <w:rFonts w:ascii="Times New Roman" w:eastAsia="Times New Roman" w:hAnsi="Times New Roman" w:cs="Times New Roman"/>
        <w:sz w:val="20"/>
      </w:rPr>
      <w:t xml:space="preserve">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2C" w:rsidRDefault="00CC0058">
    <w:pPr>
      <w:spacing w:after="0"/>
      <w:ind w:left="526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2C" w:rsidRDefault="00CC0058">
    <w:pPr>
      <w:spacing w:after="0"/>
      <w:ind w:left="526"/>
      <w:jc w:val="center"/>
    </w:pPr>
    <w:r>
      <w:rPr>
        <w:rFonts w:ascii="Arial" w:eastAsia="Arial" w:hAnsi="Arial" w:cs="Arial"/>
        <w:sz w:val="15"/>
      </w:rPr>
      <w:t>Wprowadzenie</w:t>
    </w:r>
    <w:r>
      <w:rPr>
        <w:rFonts w:ascii="Arial" w:eastAsia="Arial" w:hAnsi="Arial" w:cs="Arial"/>
        <w:sz w:val="15"/>
      </w:rPr>
      <w:t xml:space="preserve">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2C" w:rsidRDefault="00CC0058">
    <w:pPr>
      <w:spacing w:after="0"/>
      <w:ind w:left="526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C0058">
      <w:pPr>
        <w:spacing w:after="0" w:line="240" w:lineRule="auto"/>
      </w:pPr>
      <w:r>
        <w:separator/>
      </w:r>
    </w:p>
  </w:footnote>
  <w:footnote w:type="continuationSeparator" w:id="0">
    <w:p w:rsidR="00000000" w:rsidRDefault="00CC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2C" w:rsidRDefault="0075222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2C" w:rsidRDefault="0075222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2C" w:rsidRDefault="0075222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2C" w:rsidRDefault="00CC0058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1429766</wp:posOffset>
              </wp:positionV>
              <wp:extent cx="5769229" cy="9144"/>
              <wp:effectExtent l="0" t="0" r="0" b="0"/>
              <wp:wrapSquare wrapText="bothSides"/>
              <wp:docPr id="84173" name="Group 841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326" name="Shape 90326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706D8C" id="Group 84173" o:spid="_x0000_s1026" style="position:absolute;margin-left:83.65pt;margin-top:112.6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">
              <v:shape id="Shape 90326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/LbscA&#10;AADeAAAADwAAAGRycy9kb3ducmV2LnhtbESPzWsCMRTE7wX/h/CEXoombsGP1SiiVnrooX7g+bF5&#10;7i5uXtZNqut/bwqFHoeZ+Q0zW7S2EjdqfOlYw6CvQBBnzpScazgePnpjED4gG6wck4YHeVjMOy8z&#10;TI27845u+5CLCGGfooYihDqV0mcFWfR9VxNH7+waiyHKJpemwXuE20omSg2lxZLjQoE1rQrKLvsf&#10;q2FDb9tT8n2hw3EUBuurosfXhrR+7bbLKYhAbfgP/7U/jYaJek+G8HsnXgE5f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/y27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 xml:space="preserve">Przedszkole  Nr 13 </w:t>
    </w:r>
  </w:p>
  <w:p w:rsidR="0075222C" w:rsidRDefault="00CC0058">
    <w:pPr>
      <w:spacing w:after="4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</w:t>
    </w:r>
    <w:r>
      <w:rPr>
        <w:rFonts w:ascii="Times New Roman" w:eastAsia="Times New Roman" w:hAnsi="Times New Roman" w:cs="Times New Roman"/>
        <w:b/>
        <w:sz w:val="24"/>
      </w:rPr>
      <w:t xml:space="preserve">finansowego za rok obrotowy zakończony 31 grudnia 2020 r. </w:t>
    </w:r>
  </w:p>
  <w:p w:rsidR="0075222C" w:rsidRDefault="00CC0058">
    <w:pPr>
      <w:tabs>
        <w:tab w:val="center" w:pos="5672"/>
        <w:tab w:val="center" w:pos="6383"/>
        <w:tab w:val="center" w:pos="7091"/>
        <w:tab w:val="center" w:pos="7802"/>
      </w:tabs>
      <w:spacing w:after="0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</w:p>
  <w:p w:rsidR="0075222C" w:rsidRDefault="00CC0058">
    <w:pPr>
      <w:spacing w:after="13"/>
      <w:ind w:left="427"/>
    </w:pP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</w:p>
  <w:p w:rsidR="0075222C" w:rsidRDefault="00CC0058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2C" w:rsidRDefault="00CC0058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1429766</wp:posOffset>
              </wp:positionV>
              <wp:extent cx="5769229" cy="9144"/>
              <wp:effectExtent l="0" t="0" r="0" b="0"/>
              <wp:wrapSquare wrapText="bothSides"/>
              <wp:docPr id="84095" name="Group 840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325" name="Shape 90325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330D9F" id="Group 84095" o:spid="_x0000_s1026" style="position:absolute;margin-left:83.65pt;margin-top:112.6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">
              <v:shape id="Shape 90325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1VGccA&#10;AADeAAAADwAAAGRycy9kb3ducmV2LnhtbESPQWsCMRSE7wX/Q3iCl1ITt9TW1ShirXjwYFU8PzbP&#10;3cXNy7pJdf33plDocZiZb5jJrLWVuFLjS8caBn0FgjhzpuRcw2H/9fIBwgdkg5Vj0nAnD7Np52mC&#10;qXE3/qbrLuQiQtinqKEIoU6l9FlBFn3f1cTRO7nGYoiyyaVp8BbhtpKJUkNpseS4UGBNi4Ky8+7H&#10;aljS8+qYbM+0P7yHwedF0X2zJK173XY+BhGoDf/hv/baaBip1+QNfu/EK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tVRn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 xml:space="preserve">Przedszkole  Nr 13 </w:t>
    </w:r>
  </w:p>
  <w:p w:rsidR="0075222C" w:rsidRDefault="00CC0058">
    <w:pPr>
      <w:spacing w:after="4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75222C" w:rsidRDefault="00CC0058">
    <w:pPr>
      <w:tabs>
        <w:tab w:val="center" w:pos="5672"/>
        <w:tab w:val="center" w:pos="6383"/>
        <w:tab w:val="center" w:pos="7091"/>
        <w:tab w:val="center" w:pos="7802"/>
      </w:tabs>
      <w:spacing w:after="0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</w:p>
  <w:p w:rsidR="0075222C" w:rsidRDefault="00CC0058">
    <w:pPr>
      <w:spacing w:after="13"/>
      <w:ind w:left="427"/>
    </w:pP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</w:p>
  <w:p w:rsidR="0075222C" w:rsidRDefault="00CC0058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2C" w:rsidRDefault="00CC0058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1429766</wp:posOffset>
              </wp:positionV>
              <wp:extent cx="5769229" cy="9144"/>
              <wp:effectExtent l="0" t="0" r="0" b="0"/>
              <wp:wrapSquare wrapText="bothSides"/>
              <wp:docPr id="84017" name="Group 840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324" name="Shape 90324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D40FA1" id="Group 84017" o:spid="_x0000_s1026" style="position:absolute;margin-left:83.65pt;margin-top:112.6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">
              <v:shape id="Shape 90324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wgscA&#10;AADeAAAADwAAAGRycy9kb3ducmV2LnhtbESPQWsCMRSE7wX/Q3iCl1ITt8XW1ShirXjwYFU8PzbP&#10;3cXNy7pJdf33plDocZiZb5jJrLWVuFLjS8caBn0FgjhzpuRcw2H/9fIBwgdkg5Vj0nAnD7Np52mC&#10;qXE3/qbrLuQiQtinqKEIoU6l9FlBFn3f1cTRO7nGYoiyyaVp8BbhtpKJUkNpseS4UGBNi4Ky8+7H&#10;aljS8+qYbM+0P7yHwedF0X2zJK173XY+BhGoDf/hv/baaBip1+QNfu/EK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h8IL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 xml:space="preserve">Przedszkole  Nr 13 </w:t>
    </w:r>
  </w:p>
  <w:p w:rsidR="0075222C" w:rsidRDefault="00CC0058">
    <w:pPr>
      <w:spacing w:after="4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75222C" w:rsidRDefault="00CC0058">
    <w:pPr>
      <w:tabs>
        <w:tab w:val="center" w:pos="5672"/>
        <w:tab w:val="center" w:pos="6383"/>
        <w:tab w:val="center" w:pos="7091"/>
        <w:tab w:val="center" w:pos="7802"/>
      </w:tabs>
      <w:spacing w:after="0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</w:p>
  <w:p w:rsidR="0075222C" w:rsidRDefault="00CC0058">
    <w:pPr>
      <w:spacing w:after="13"/>
      <w:ind w:left="427"/>
    </w:pP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</w:p>
  <w:p w:rsidR="0075222C" w:rsidRDefault="00CC0058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2C" w:rsidRDefault="00CC0058">
    <w:pPr>
      <w:spacing w:after="5"/>
      <w:ind w:left="563"/>
      <w:jc w:val="center"/>
    </w:pPr>
    <w:r>
      <w:rPr>
        <w:rFonts w:ascii="Times New Roman" w:eastAsia="Times New Roman" w:hAnsi="Times New Roman" w:cs="Times New Roman"/>
        <w:sz w:val="15"/>
      </w:rPr>
      <w:t>Przedszkole Nr 13</w:t>
    </w:r>
  </w:p>
  <w:p w:rsidR="0075222C" w:rsidRDefault="00CC0058">
    <w:pPr>
      <w:spacing w:after="5"/>
      <w:ind w:left="558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</w:t>
    </w:r>
    <w:r>
      <w:rPr>
        <w:rFonts w:ascii="Times New Roman" w:eastAsia="Times New Roman" w:hAnsi="Times New Roman" w:cs="Times New Roman"/>
        <w:sz w:val="15"/>
      </w:rPr>
      <w:t>owego za rok obrotowy zakończony 31 grudnia 2021 r.</w:t>
    </w:r>
  </w:p>
  <w:p w:rsidR="0075222C" w:rsidRDefault="00CC0058">
    <w:pPr>
      <w:spacing w:after="0"/>
      <w:ind w:left="562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2C" w:rsidRDefault="00CC0058">
    <w:pPr>
      <w:spacing w:after="5"/>
      <w:ind w:left="563"/>
      <w:jc w:val="center"/>
    </w:pPr>
    <w:r>
      <w:rPr>
        <w:rFonts w:ascii="Times New Roman" w:eastAsia="Times New Roman" w:hAnsi="Times New Roman" w:cs="Times New Roman"/>
        <w:sz w:val="15"/>
      </w:rPr>
      <w:t>Przedszkole Nr 13</w:t>
    </w:r>
  </w:p>
  <w:p w:rsidR="0075222C" w:rsidRDefault="00CC0058">
    <w:pPr>
      <w:spacing w:after="5"/>
      <w:ind w:left="558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75222C" w:rsidRDefault="00CC0058">
    <w:pPr>
      <w:spacing w:after="0"/>
      <w:ind w:left="562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22C" w:rsidRDefault="00CC0058">
    <w:pPr>
      <w:spacing w:after="5"/>
      <w:ind w:left="563"/>
      <w:jc w:val="center"/>
    </w:pPr>
    <w:r>
      <w:rPr>
        <w:rFonts w:ascii="Times New Roman" w:eastAsia="Times New Roman" w:hAnsi="Times New Roman" w:cs="Times New Roman"/>
        <w:sz w:val="15"/>
      </w:rPr>
      <w:t>Przedszkole N</w:t>
    </w:r>
    <w:r>
      <w:rPr>
        <w:rFonts w:ascii="Times New Roman" w:eastAsia="Times New Roman" w:hAnsi="Times New Roman" w:cs="Times New Roman"/>
        <w:sz w:val="15"/>
      </w:rPr>
      <w:t>r 13</w:t>
    </w:r>
  </w:p>
  <w:p w:rsidR="0075222C" w:rsidRDefault="00CC0058">
    <w:pPr>
      <w:spacing w:after="5"/>
      <w:ind w:left="558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75222C" w:rsidRDefault="00CC0058">
    <w:pPr>
      <w:spacing w:after="0"/>
      <w:ind w:left="562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259D8"/>
    <w:multiLevelType w:val="hybridMultilevel"/>
    <w:tmpl w:val="0FEA07D0"/>
    <w:lvl w:ilvl="0" w:tplc="FC5E25BE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34771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9C0B5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C6030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6EFA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12EEB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A2E4B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0033F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3AD21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7B72FF"/>
    <w:multiLevelType w:val="multilevel"/>
    <w:tmpl w:val="CC48A42E"/>
    <w:lvl w:ilvl="0">
      <w:start w:val="1"/>
      <w:numFmt w:val="decimal"/>
      <w:lvlText w:val="%1."/>
      <w:lvlJc w:val="left"/>
      <w:pPr>
        <w:ind w:left="92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6D4130"/>
    <w:multiLevelType w:val="multilevel"/>
    <w:tmpl w:val="0F8A7226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471531"/>
    <w:multiLevelType w:val="hybridMultilevel"/>
    <w:tmpl w:val="3AB22C42"/>
    <w:lvl w:ilvl="0" w:tplc="3A204810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E66742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BED5EA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86F20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0572C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FAAB96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C037F8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24F2FE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A762A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3C56AD"/>
    <w:multiLevelType w:val="hybridMultilevel"/>
    <w:tmpl w:val="D332C2F6"/>
    <w:lvl w:ilvl="0" w:tplc="0CBCE3EA">
      <w:start w:val="4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3CC7E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D2E52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88C6D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48998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6CDC9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0C2D6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0EA14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94D10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4F76A9"/>
    <w:multiLevelType w:val="multilevel"/>
    <w:tmpl w:val="EDFC7C06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2C"/>
    <w:rsid w:val="0075222C"/>
    <w:rsid w:val="00CC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1C21F-0F8F-49AC-9D80-A750EC16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6"/>
      </w:numPr>
      <w:spacing w:after="4" w:line="268" w:lineRule="auto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6137</Words>
  <Characters>36827</Characters>
  <Application>Microsoft Office Word</Application>
  <DocSecurity>0</DocSecurity>
  <Lines>306</Lines>
  <Paragraphs>85</Paragraphs>
  <ScaleCrop>false</ScaleCrop>
  <Company/>
  <LinksUpToDate>false</LinksUpToDate>
  <CharactersWithSpaces>42879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2021-05-07T08:11:00Z</dcterms:created>
  <dcterms:modified xsi:type="dcterms:W3CDTF">2021-05-07T08:11:00Z</dcterms:modified>
</cp:coreProperties>
</file>