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14" w:rsidRDefault="00222655">
      <w:pPr>
        <w:spacing w:after="0"/>
        <w:ind w:left="35"/>
      </w:pPr>
      <w:r>
        <w:rPr>
          <w:b/>
          <w:sz w:val="16"/>
        </w:rPr>
        <w:t>s</w:t>
      </w:r>
      <w:bookmarkStart w:id="0" w:name="_GoBack"/>
      <w:bookmarkEnd w:id="0"/>
      <w:r>
        <w:rPr>
          <w:b/>
          <w:sz w:val="16"/>
        </w:rPr>
        <w:t>Jednostka: P20/SR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D32014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D32014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1"/>
              </w:rPr>
              <w:t>Przedszkole z Oddziałami Integracyjnymi nr 20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1"/>
              </w:rPr>
              <w:t>ul. Sempołowskiej 2a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1"/>
              </w:rPr>
              <w:t>00-574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D32014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226284745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D32014" w:rsidRDefault="0022265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D32014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D32014" w:rsidRDefault="00222655">
            <w:pPr>
              <w:spacing w:after="0"/>
            </w:pPr>
            <w:r>
              <w:rPr>
                <w:sz w:val="11"/>
              </w:rPr>
              <w:t>013004309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D32014" w:rsidRDefault="00222655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510 170,69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D32014" w:rsidRDefault="00222655">
            <w:pPr>
              <w:spacing w:after="0"/>
              <w:ind w:left="309"/>
            </w:pPr>
            <w:r>
              <w:rPr>
                <w:b/>
                <w:sz w:val="13"/>
              </w:rPr>
              <w:t>490 015,41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D32014" w:rsidRDefault="00222655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358 420,32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327 </w:t>
            </w:r>
            <w:r>
              <w:rPr>
                <w:b/>
                <w:sz w:val="13"/>
              </w:rPr>
              <w:t>762,16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2 259 662,99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2 281 070,48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510 170,69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left="309"/>
            </w:pPr>
            <w:r>
              <w:rPr>
                <w:b/>
                <w:sz w:val="13"/>
              </w:rPr>
              <w:t>490 015,41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-1 899 132,28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-1 938 622,56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510 170,69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left="310"/>
            </w:pPr>
            <w:r>
              <w:rPr>
                <w:sz w:val="13"/>
              </w:rPr>
              <w:t>490 015,41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-1 899 132,28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-1 938 622,56</w:t>
            </w:r>
          </w:p>
        </w:tc>
      </w:tr>
      <w:tr w:rsidR="00D32014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-2 110,39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-14 685,76</w:t>
            </w:r>
          </w:p>
        </w:tc>
      </w:tr>
      <w:tr w:rsidR="00D320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492 381,00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left="310"/>
            </w:pPr>
            <w:r>
              <w:rPr>
                <w:sz w:val="13"/>
              </w:rPr>
              <w:t>478 279,40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14 663,92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 xml:space="preserve">10 </w:t>
            </w:r>
            <w:r>
              <w:rPr>
                <w:sz w:val="13"/>
              </w:rPr>
              <w:t>287,68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3 125,77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1 448,33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161 363,61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183 241,83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 xml:space="preserve">2. Środki trwałe w budowie </w:t>
            </w:r>
            <w:r>
              <w:rPr>
                <w:sz w:val="13"/>
              </w:rPr>
              <w:t>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161 363,61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183 241,83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</w:t>
            </w:r>
            <w:r>
              <w:rPr>
                <w:sz w:val="13"/>
              </w:rPr>
              <w:t xml:space="preserve">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6 857,70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8 487,78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16 908,39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30 517,76</w:t>
            </w:r>
          </w:p>
        </w:tc>
      </w:tr>
      <w:tr w:rsidR="00D320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72 489,99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67 856,95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 xml:space="preserve">2.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63 735,57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68 716,66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1 371,96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7 662,68</w:t>
            </w:r>
          </w:p>
        </w:tc>
      </w:tr>
      <w:tr w:rsidR="00D320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</w:t>
            </w:r>
            <w:r>
              <w:rPr>
                <w:sz w:val="13"/>
              </w:rPr>
              <w:t xml:space="preserve">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D320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9 613,24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20 988,58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D32014" w:rsidRDefault="00222655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7 444,35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4 220,62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 xml:space="preserve">7 </w:t>
            </w:r>
            <w:r>
              <w:rPr>
                <w:sz w:val="13"/>
              </w:rPr>
              <w:t>444,35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4 220,62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58,50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2 082,20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939,20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 xml:space="preserve">4. Pozostałe </w:t>
            </w:r>
            <w:r>
              <w:rPr>
                <w:sz w:val="13"/>
              </w:rPr>
              <w:t>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58,50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1 143,00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2 110,39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14 685,76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 xml:space="preserve">2. Środki pieniężne </w:t>
            </w:r>
            <w:r>
              <w:rPr>
                <w:sz w:val="13"/>
              </w:rPr>
              <w:t>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2 110,39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14 685,76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114"/>
            </w:pPr>
            <w:r>
              <w:rPr>
                <w:sz w:val="13"/>
              </w:rPr>
              <w:t xml:space="preserve">7. Inne krótkoterminowe </w:t>
            </w:r>
            <w:r>
              <w:rPr>
                <w:sz w:val="13"/>
              </w:rPr>
              <w:t>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D32014" w:rsidRDefault="0022265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22265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2014" w:rsidRDefault="00D32014"/>
        </w:tc>
      </w:tr>
      <w:tr w:rsidR="00D320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519 783,93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309"/>
            </w:pPr>
            <w:r>
              <w:rPr>
                <w:b/>
                <w:sz w:val="13"/>
              </w:rPr>
              <w:t>511 003,99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519 783,93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3"/>
              </w:rPr>
              <w:t>511 003,99</w:t>
            </w:r>
          </w:p>
        </w:tc>
      </w:tr>
      <w:tr w:rsidR="00D32014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D32014" w:rsidRDefault="00222655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014" w:rsidRDefault="00222655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D32014" w:rsidRDefault="00222655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D32014" w:rsidRDefault="00222655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D32014" w:rsidRDefault="00222655">
      <w:pPr>
        <w:spacing w:after="306"/>
        <w:ind w:left="127"/>
        <w:jc w:val="center"/>
      </w:pPr>
      <w:r>
        <w:rPr>
          <w:sz w:val="11"/>
        </w:rPr>
        <w:t>Strona 1 z 1</w:t>
      </w:r>
    </w:p>
    <w:p w:rsidR="00D32014" w:rsidRDefault="00222655">
      <w:pPr>
        <w:spacing w:after="0"/>
      </w:pPr>
      <w:r>
        <w:rPr>
          <w:sz w:val="11"/>
        </w:rPr>
        <w:t>Finanse VULCAN wersja 21.03.0009.29329, VULCAN sp. z o.o., licencja: warszawasrodmiescie, Fina</w:t>
      </w:r>
      <w:r>
        <w:rPr>
          <w:sz w:val="11"/>
        </w:rPr>
        <w:t>nse VULCAN lic. 010860, Dzielnicowe Biuro Finansów Oświaty - Śródmieście m. st. Warszawy, 00-375 Warszawa, Smolna 10A</w:t>
      </w:r>
    </w:p>
    <w:p w:rsidR="00D32014" w:rsidRDefault="00222655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P20/SR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D32014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D32014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D32014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Przedszkole z Oddziałami Integracyjnymi nr 20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D32014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ul. Sempołowskiej 2a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D32014"/>
        </w:tc>
      </w:tr>
      <w:tr w:rsidR="00D32014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00-574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D32014"/>
        </w:tc>
      </w:tr>
      <w:tr w:rsidR="00D32014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tel. 226284745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D32014" w:rsidRDefault="0022265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D32014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D32014" w:rsidRDefault="00222655">
            <w:pPr>
              <w:spacing w:after="0"/>
            </w:pPr>
            <w:r>
              <w:rPr>
                <w:sz w:val="13"/>
              </w:rPr>
              <w:t>013004309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</w:tr>
      <w:tr w:rsidR="00D32014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D32014" w:rsidRDefault="00D32014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 xml:space="preserve">A. </w:t>
            </w:r>
            <w:r>
              <w:rPr>
                <w:b/>
                <w:sz w:val="15"/>
              </w:rPr>
              <w:t>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108 433,40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72 295,60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108 433,40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72 295,60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 xml:space="preserve">III. Koszt </w:t>
            </w:r>
            <w:r>
              <w:rPr>
                <w:sz w:val="15"/>
              </w:rPr>
              <w:t>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 xml:space="preserve">B. Koszty </w:t>
            </w:r>
            <w:r>
              <w:rPr>
                <w:b/>
                <w:sz w:val="15"/>
              </w:rPr>
              <w:t>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2 008 439,27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2 073 362,77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50 108,55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20 155,28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258 842,59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256 854,33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62 360,33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40 191,17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16 071,00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17 680,80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1 299 584,23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 xml:space="preserve">1 </w:t>
            </w:r>
            <w:r>
              <w:rPr>
                <w:sz w:val="15"/>
              </w:rPr>
              <w:t>395 106,85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319 190,46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341 415,15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2 282,11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1 959,19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-1 900 005,87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-2 001 067,17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851,80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62 435,02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851,80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62 435,02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D32014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-1 899 154,07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-1 938 632,15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21,79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9,59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21,79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9,59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H.</w:t>
            </w:r>
            <w:r>
              <w:rPr>
                <w:b/>
                <w:sz w:val="15"/>
              </w:rPr>
              <w:t xml:space="preserve">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-1 899 132,28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-1 938 622,56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L. Zysk (strata)</w:t>
            </w:r>
            <w:r>
              <w:rPr>
                <w:b/>
                <w:sz w:val="15"/>
              </w:rPr>
              <w:t xml:space="preserve">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-1 899 132,28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-1 938 622,56</w:t>
            </w:r>
          </w:p>
        </w:tc>
      </w:tr>
    </w:tbl>
    <w:p w:rsidR="00D32014" w:rsidRDefault="0022265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D32014" w:rsidRDefault="0022265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D32014" w:rsidRDefault="0022265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D32014" w:rsidRDefault="00222655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</w:t>
      </w:r>
      <w:r>
        <w:rPr>
          <w:sz w:val="15"/>
        </w:rPr>
        <w:t>Kierownik jednostki</w:t>
      </w:r>
    </w:p>
    <w:p w:rsidR="00D32014" w:rsidRDefault="0022265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D32014" w:rsidRDefault="00222655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D32014" w:rsidRDefault="00222655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 xml:space="preserve">Jednostka: </w:t>
      </w:r>
      <w:r>
        <w:rPr>
          <w:rFonts w:ascii="Calibri" w:eastAsia="Calibri" w:hAnsi="Calibri" w:cs="Calibri"/>
          <w:sz w:val="18"/>
        </w:rPr>
        <w:t>P20/SR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D32014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D32014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D32014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Przedszkole z Oddziałami Integracyjnymi nr 20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D32014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</w:pPr>
            <w:r>
              <w:rPr>
                <w:sz w:val="13"/>
              </w:rPr>
              <w:t>ul. Sempołowskiej 2a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D32014" w:rsidRDefault="00D32014"/>
        </w:tc>
      </w:tr>
      <w:tr w:rsidR="00D32014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right="2513"/>
            </w:pPr>
            <w:r>
              <w:rPr>
                <w:sz w:val="13"/>
              </w:rPr>
              <w:t>00-574 Warszawa tel. 226284745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D32014" w:rsidRDefault="0022265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D32014" w:rsidRDefault="0022265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D32014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D32014" w:rsidRDefault="00222655">
            <w:pPr>
              <w:spacing w:after="0"/>
            </w:pPr>
            <w:r>
              <w:rPr>
                <w:sz w:val="13"/>
              </w:rPr>
              <w:t>013004309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</w:tr>
      <w:tr w:rsidR="00D32014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D32014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D32014" w:rsidRDefault="0022265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2 113 083,83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2 259 662,99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1 826 300,34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1 922 966,16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 xml:space="preserve">1.1. Zysk </w:t>
            </w:r>
            <w:r>
              <w:rPr>
                <w:sz w:val="15"/>
              </w:rPr>
              <w:t>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1 826 300,34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1 922 966,16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1.6.</w:t>
            </w:r>
            <w:r>
              <w:rPr>
                <w:sz w:val="15"/>
              </w:rPr>
              <w:t xml:space="preserve">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1 679 721,18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1 901 558,67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1 678 957,17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1 899 132,28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 xml:space="preserve">2.2. Zrealizowane dochody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364,00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316,00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400,01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2 110,39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 xml:space="preserve">2.6. Wartość sprzedanych i nieodpłatnie </w:t>
            </w:r>
            <w:r>
              <w:rPr>
                <w:sz w:val="15"/>
              </w:rPr>
              <w:t>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2 259 662,99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2 281 070,48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-1 901 242,67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-1 953 308,32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-1 899 132,28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 xml:space="preserve">-1 938 </w:t>
            </w:r>
            <w:r>
              <w:rPr>
                <w:sz w:val="15"/>
              </w:rPr>
              <w:t>622,56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2 110,39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sz w:val="15"/>
              </w:rPr>
              <w:t>14 685,76</w:t>
            </w:r>
          </w:p>
        </w:tc>
      </w:tr>
      <w:tr w:rsidR="00D320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358 420,32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b/>
                <w:sz w:val="15"/>
              </w:rPr>
              <w:t>327 762,16</w:t>
            </w:r>
          </w:p>
        </w:tc>
      </w:tr>
    </w:tbl>
    <w:p w:rsidR="00D32014" w:rsidRDefault="0022265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D32014" w:rsidRDefault="0022265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D32014" w:rsidRDefault="0022265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D32014" w:rsidRDefault="00222655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D32014" w:rsidRDefault="0022265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D32014" w:rsidRDefault="00222655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D32014" w:rsidRDefault="00D32014">
      <w:pPr>
        <w:sectPr w:rsidR="00D320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D32014" w:rsidRDefault="00222655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D32014" w:rsidRDefault="00222655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D32014" w:rsidRDefault="00222655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D32014" w:rsidRDefault="0022265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D32014" w:rsidRDefault="00222655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D32014" w:rsidRDefault="00222655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32014" w:rsidRDefault="00222655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z Oddziałami Integracyjnymi Nr 20 </w:t>
      </w:r>
    </w:p>
    <w:p w:rsidR="00D32014" w:rsidRDefault="0022265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D32014" w:rsidRDefault="00222655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D32014" w:rsidRDefault="0022265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spacing w:after="0"/>
        <w:ind w:left="936" w:hanging="10"/>
      </w:pPr>
      <w:r>
        <w:rPr>
          <w:rFonts w:ascii="Book Antiqua" w:eastAsia="Book Antiqua" w:hAnsi="Book Antiqua" w:cs="Book Antiqua"/>
          <w:b/>
        </w:rPr>
        <w:t xml:space="preserve">Przedszkole z Oddziałami Integracyjnymi Nr 20 </w:t>
      </w:r>
    </w:p>
    <w:p w:rsidR="00D32014" w:rsidRDefault="0022265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D32014" w:rsidRDefault="00222655">
      <w:pPr>
        <w:spacing w:after="8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Sempołowskiej 2A, 00-574 Warszawa </w:t>
      </w:r>
    </w:p>
    <w:p w:rsidR="00D32014" w:rsidRDefault="0022265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D32014" w:rsidRDefault="00222655">
      <w:pPr>
        <w:spacing w:after="8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pStyle w:val="Nagwek1"/>
        <w:numPr>
          <w:ilvl w:val="0"/>
          <w:numId w:val="0"/>
        </w:numPr>
      </w:pPr>
      <w:r>
        <w:t xml:space="preserve">ul. Sempołowskiej 2A, 00-574 Warszawa </w:t>
      </w:r>
    </w:p>
    <w:p w:rsidR="00D32014" w:rsidRDefault="00222655">
      <w:pPr>
        <w:spacing w:after="1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spacing w:after="1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</w:t>
      </w:r>
    </w:p>
    <w:p w:rsidR="00D32014" w:rsidRDefault="00222655">
      <w:pPr>
        <w:spacing w:after="15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spacing w:after="31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2014" w:rsidRDefault="00222655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2014" w:rsidRDefault="00222655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D32014" w:rsidRDefault="0022265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>01.01.2020 r. – 31.12.2020 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2014" w:rsidRDefault="00222655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D32014" w:rsidRDefault="0022265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D32014" w:rsidRDefault="00222655">
      <w:pPr>
        <w:spacing w:after="28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D32014" w:rsidRDefault="00222655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>nostek samorządu terytorialnego, jednostek budżetowych, samorządowych zakładów budżetowych, państwowych funduszy celowych oraz państwowych jednostek budżetowych mających siedzibę poza granicami Rzeczypospolitej Polskiej (Dz. U. z 2017 poz. 1911  z późn.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D32014" w:rsidRDefault="00222655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 W momencie przyjęcia</w:t>
      </w:r>
      <w:r>
        <w:rPr>
          <w:rFonts w:ascii="Times New Roman" w:eastAsia="Times New Roman" w:hAnsi="Times New Roman" w:cs="Times New Roman"/>
          <w:sz w:val="24"/>
        </w:rPr>
        <w:t xml:space="preserve"> ich do użytkowania dokonuje się jednorazowych odpisów ich wartości nabycia w koszty;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</w:t>
      </w:r>
      <w:r>
        <w:rPr>
          <w:rFonts w:ascii="Times New Roman" w:eastAsia="Times New Roman" w:hAnsi="Times New Roman" w:cs="Times New Roman"/>
          <w:sz w:val="24"/>
        </w:rPr>
        <w:t xml:space="preserve"> aktualnej w momencie otrzymania). Wartość przyjętych nieodpłatnie aktywów, w tym środków obrotowych, w ramach centralnego zaopatrzenia odnosi się w ciężar funduszu jednostki.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</w:t>
      </w:r>
      <w:r>
        <w:rPr>
          <w:rFonts w:ascii="Times New Roman" w:eastAsia="Times New Roman" w:hAnsi="Times New Roman" w:cs="Times New Roman"/>
          <w:sz w:val="24"/>
        </w:rPr>
        <w:t xml:space="preserve">ący na wyodrębnienie ich tytułów, kontrahentów, podziału na długo i krótkoterminowe według klasyfikacji wymaganej w raportowaniu budżetowym. Wartość należności na dzień bilansowy aktualizuje się z uwzględnieniem prawdopodobieństwa zapłaty oraz stopnia ich </w:t>
      </w:r>
      <w:r>
        <w:rPr>
          <w:rFonts w:ascii="Times New Roman" w:eastAsia="Times New Roman" w:hAnsi="Times New Roman" w:cs="Times New Roman"/>
          <w:sz w:val="24"/>
        </w:rPr>
        <w:t>przeterminowania. Odsetki od nieterminowych płatności należności ujmuje się nie później niż pod datą ostatniego dnia kwartału w wysokości odsetek należnych na koniec tego kwartału lub w momencie zapłaty. Odpisy aktualizujące obciążają pozostałe koszty oper</w:t>
      </w:r>
      <w:r>
        <w:rPr>
          <w:rFonts w:ascii="Times New Roman" w:eastAsia="Times New Roman" w:hAnsi="Times New Roman" w:cs="Times New Roman"/>
          <w:sz w:val="24"/>
        </w:rPr>
        <w:t xml:space="preserve">acyjne i finansowe;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</w:t>
      </w:r>
      <w:r>
        <w:rPr>
          <w:rFonts w:ascii="Times New Roman" w:eastAsia="Times New Roman" w:hAnsi="Times New Roman" w:cs="Times New Roman"/>
          <w:sz w:val="24"/>
        </w:rPr>
        <w:t xml:space="preserve">zedawnione i umorzone zobowiązania wycenia się w kwocie wymagającej zapłaty i ujmuje w przychodach finansowych. Rezerwy na zobowiązania nie są tworzone.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</w:t>
      </w:r>
      <w:r>
        <w:rPr>
          <w:rFonts w:ascii="Times New Roman" w:eastAsia="Times New Roman" w:hAnsi="Times New Roman" w:cs="Times New Roman"/>
          <w:sz w:val="24"/>
        </w:rPr>
        <w:t>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2014" w:rsidRDefault="00222655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D32014" w:rsidRDefault="00222655">
      <w:pPr>
        <w:numPr>
          <w:ilvl w:val="0"/>
          <w:numId w:val="3"/>
        </w:numPr>
        <w:spacing w:after="3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</w:t>
      </w:r>
      <w:r>
        <w:rPr>
          <w:rFonts w:ascii="Times New Roman" w:eastAsia="Times New Roman" w:hAnsi="Times New Roman" w:cs="Times New Roman"/>
          <w:sz w:val="24"/>
        </w:rPr>
        <w:t xml:space="preserve">ie jest większa niż 0,5 % sumy wartości rozliczeń międzyokresowych za rok poprzedni.   </w:t>
      </w:r>
    </w:p>
    <w:p w:rsidR="00D32014" w:rsidRDefault="00222655">
      <w:pPr>
        <w:spacing w:after="0" w:line="278" w:lineRule="auto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Wydatki na prenumeratę prasy, prowadzenie stron BIP, abonamenty RTV, itp. </w:t>
      </w:r>
      <w:r>
        <w:rPr>
          <w:rFonts w:ascii="Times New Roman" w:eastAsia="Times New Roman" w:hAnsi="Times New Roman" w:cs="Times New Roman"/>
          <w:sz w:val="24"/>
        </w:rPr>
        <w:t xml:space="preserve">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2014" w:rsidRDefault="0022265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pStyle w:val="Nagwek1"/>
        <w:ind w:left="911" w:hanging="360"/>
      </w:pPr>
      <w:r>
        <w:t xml:space="preserve">Inne informacje </w:t>
      </w:r>
    </w:p>
    <w:p w:rsidR="00D32014" w:rsidRDefault="00222655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32014" w:rsidRDefault="00222655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poszczególnych pozycji sprawozd</w:t>
      </w:r>
      <w:r>
        <w:rPr>
          <w:rFonts w:ascii="Times New Roman" w:eastAsia="Times New Roman" w:hAnsi="Times New Roman" w:cs="Times New Roman"/>
          <w:sz w:val="24"/>
        </w:rPr>
        <w:t xml:space="preserve">ania finansowego. </w:t>
      </w:r>
    </w:p>
    <w:p w:rsidR="00D32014" w:rsidRDefault="0022265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22265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32014" w:rsidRDefault="00D32014">
      <w:pPr>
        <w:sectPr w:rsidR="00D3201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633" w:left="1702" w:header="861" w:footer="857" w:gutter="0"/>
          <w:cols w:space="708"/>
        </w:sectPr>
      </w:pPr>
    </w:p>
    <w:p w:rsidR="00D32014" w:rsidRDefault="00222655">
      <w:pPr>
        <w:pStyle w:val="Nagwek2"/>
      </w:pPr>
      <w:r>
        <w:t>Załącznik nr 21</w:t>
      </w:r>
    </w:p>
    <w:p w:rsidR="00D32014" w:rsidRDefault="00222655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</w:t>
      </w:r>
      <w:r>
        <w:rPr>
          <w:rFonts w:ascii="Book Antiqua" w:eastAsia="Book Antiqua" w:hAnsi="Book Antiqua" w:cs="Book Antiqua"/>
          <w:sz w:val="15"/>
        </w:rPr>
        <w:t>h, sprawozdań w zakresie operacji finansowych i sprawozdań  finansowych w Urzędzie m.st. Warszawy i  jednostkach organizacyjnych m.st. Warszawy</w:t>
      </w:r>
    </w:p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D32014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222655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D32014" w:rsidRDefault="00D32014"/>
        </w:tc>
      </w:tr>
      <w:tr w:rsidR="00D32014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32014" w:rsidRDefault="00222655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D32014" w:rsidRDefault="00222655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32014" w:rsidRDefault="00222655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D32014" w:rsidRDefault="0022265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32014" w:rsidRDefault="00222655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32014" w:rsidRDefault="00222655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32014" w:rsidRDefault="0022265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32014" w:rsidRDefault="002226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D32014" w:rsidRDefault="00222655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D3201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697 397,51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31 401,64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428 547,88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1 157 347,03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60 048,96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60 048,96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60 048,96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60 048,96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20 637,89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20 637,89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20 637,89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20 637,89</w:t>
            </w:r>
          </w:p>
        </w:tc>
      </w:tr>
      <w:tr w:rsidR="00D32014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697 397,51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31 401,64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467 958,95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1 196 758,10</w:t>
            </w:r>
          </w:p>
        </w:tc>
      </w:tr>
      <w:tr w:rsidR="00D3201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205 016,51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16 737,72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425 422,11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647 176,34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14 101,60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4 376,24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61 726,40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80 204,24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14 101,60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4 376,24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1 677,44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20 155,28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60 048,96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60 048,96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20 637,89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20 637,89</w:t>
            </w:r>
          </w:p>
        </w:tc>
      </w:tr>
      <w:tr w:rsidR="00D32014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20 637,89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20 637,89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219 118,11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21 113,96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466 510,62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706 742,69</w:t>
            </w:r>
          </w:p>
        </w:tc>
      </w:tr>
      <w:tr w:rsidR="00D3201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492 381,00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14 663,92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3 125,77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510 170,69</w:t>
            </w:r>
          </w:p>
        </w:tc>
      </w:tr>
      <w:tr w:rsidR="00D32014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478 279,40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10 287,68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1 448,33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490 015,41</w:t>
            </w:r>
          </w:p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D32014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D32014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32014" w:rsidRDefault="00D32014"/>
        </w:tc>
      </w:tr>
      <w:tr w:rsidR="00D32014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32014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3201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32014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32014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D32014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D32014" w:rsidRDefault="0022265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D32014" w:rsidRDefault="00222655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D32014" w:rsidRDefault="00222655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D32014" w:rsidRDefault="0022265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D32014" w:rsidRDefault="00222655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D32014" w:rsidRDefault="00222655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D32014" w:rsidRDefault="00222655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D32014" w:rsidRDefault="00222655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D32014" w:rsidRDefault="0022265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D32014" w:rsidRDefault="00222655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D32014" w:rsidRDefault="00222655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D32014" w:rsidRDefault="00222655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D320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D32014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D32014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222655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D32014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D32014" w:rsidRDefault="00D32014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32014" w:rsidRDefault="00222655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D32014" w:rsidRDefault="00222655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D32014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D32014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D32014" w:rsidRDefault="00222655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D32014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32014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</w:tbl>
    <w:p w:rsidR="00D32014" w:rsidRDefault="00222655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32014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222655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22265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</w:tbl>
    <w:p w:rsidR="00D32014" w:rsidRDefault="00222655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D32014" w:rsidRDefault="00222655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D32014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D32014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</w:tr>
      <w:tr w:rsidR="00D32014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D32014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</w:tr>
    </w:tbl>
    <w:p w:rsidR="00D32014" w:rsidRDefault="00222655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D320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D32014" w:rsidRDefault="002226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32014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D32014" w:rsidRDefault="0022265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D32014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222655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D32014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32014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D32014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D32014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D320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D320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D320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D32014" w:rsidRDefault="00D32014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D320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D32014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D32014" w:rsidRDefault="00222655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D32014" w:rsidRDefault="00222655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D32014" w:rsidRDefault="0022265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D3201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D32014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D3201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D32014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26 967,86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24 592,73</w:t>
            </w:r>
          </w:p>
        </w:tc>
      </w:tr>
    </w:tbl>
    <w:p w:rsidR="00D32014" w:rsidRDefault="00222655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D32014" w:rsidRDefault="00222655">
      <w:pPr>
        <w:spacing w:after="0"/>
      </w:pPr>
      <w:r>
        <w:br w:type="page"/>
      </w:r>
    </w:p>
    <w:p w:rsidR="00D32014" w:rsidRDefault="00222655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D32014" w:rsidRDefault="00222655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D32014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D32014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32014" w:rsidRDefault="00D3201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32014" w:rsidRDefault="00D32014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D3201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D3201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D32014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2014" w:rsidRDefault="00D320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D320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939,20</w:t>
            </w:r>
          </w:p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58,50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1 143,00</w:t>
            </w:r>
          </w:p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47,50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1 143,00</w:t>
            </w:r>
          </w:p>
        </w:tc>
      </w:tr>
      <w:tr w:rsidR="00D3201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58,50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2 082,20</w:t>
            </w:r>
          </w:p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D32014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D32014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D32014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D32014" w:rsidRDefault="00222655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D32014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D32014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62 119,02</w:t>
            </w:r>
          </w:p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62 119,02</w:t>
            </w:r>
          </w:p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62 119,02</w:t>
            </w:r>
          </w:p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19 752,02</w:t>
            </w:r>
          </w:p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19 752,02</w:t>
            </w:r>
          </w:p>
        </w:tc>
      </w:tr>
      <w:tr w:rsidR="00D32014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19 752,02</w:t>
            </w:r>
          </w:p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D32014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D32014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</w:tbl>
    <w:p w:rsidR="00D32014" w:rsidRDefault="00222655">
      <w:r>
        <w:br w:type="page"/>
      </w:r>
    </w:p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</w:tr>
      <w:tr w:rsidR="00D32014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108 433,40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D32014" w:rsidRDefault="0022265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72 295,60</w:t>
            </w:r>
          </w:p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108 433,40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72 080,55</w:t>
            </w:r>
          </w:p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215,05</w:t>
            </w:r>
          </w:p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108 433,40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72 295,60</w:t>
            </w:r>
          </w:p>
        </w:tc>
      </w:tr>
    </w:tbl>
    <w:p w:rsidR="00D32014" w:rsidRDefault="00222655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36 905,91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10 169,50</w:t>
            </w:r>
          </w:p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22 869,35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27 065,32</w:t>
            </w:r>
          </w:p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2 585,07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2 956,35</w:t>
            </w:r>
          </w:p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62 360,33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40 191,17</w:t>
            </w:r>
          </w:p>
        </w:tc>
      </w:tr>
    </w:tbl>
    <w:p w:rsidR="00D32014" w:rsidRDefault="00222655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D32014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851,80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62 435,02</w:t>
            </w:r>
          </w:p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487,80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364,00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62 435,02</w:t>
            </w:r>
          </w:p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851,80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62 435,02</w:t>
            </w:r>
          </w:p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D32014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D32014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r>
        <w:br w:type="page"/>
      </w:r>
    </w:p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D32014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21,79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9,59</w:t>
            </w:r>
          </w:p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21,79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9,59</w:t>
            </w:r>
          </w:p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21,79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9,59</w:t>
            </w:r>
          </w:p>
        </w:tc>
      </w:tr>
    </w:tbl>
    <w:p w:rsidR="00D32014" w:rsidRDefault="0022265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D32014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D32014" w:rsidRDefault="00222655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D32014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D32014" w:rsidRDefault="00D32014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22265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</w:tr>
      <w:tr w:rsidR="00D32014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222655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222655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</w:t>
            </w:r>
            <w:r>
              <w:rPr>
                <w:rFonts w:ascii="Times New Roman" w:eastAsia="Times New Roman" w:hAnsi="Times New Roman" w:cs="Times New Roman"/>
                <w:sz w:val="14"/>
              </w:rPr>
              <w:t>ółki, 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4 855,85</w:t>
            </w:r>
          </w:p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4 855,85</w:t>
            </w:r>
          </w:p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D32014" w:rsidRDefault="00D320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4 855,85</w:t>
            </w:r>
          </w:p>
        </w:tc>
      </w:tr>
    </w:tbl>
    <w:p w:rsidR="00D32014" w:rsidRDefault="00222655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D32014" w:rsidRDefault="00222655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D32014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32014" w:rsidRDefault="00222655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D32014" w:rsidRDefault="0022265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D32014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30,00</w:t>
            </w:r>
          </w:p>
        </w:tc>
      </w:tr>
    </w:tbl>
    <w:p w:rsidR="00D32014" w:rsidRDefault="00222655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D32014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D32014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</w:tr>
      <w:tr w:rsidR="00D320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</w:tr>
    </w:tbl>
    <w:p w:rsidR="00D32014" w:rsidRDefault="00222655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D32014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D32014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D32014" w:rsidRDefault="0022265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D32014" w:rsidRDefault="0022265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D32014" w:rsidRDefault="0022265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D32014" w:rsidRDefault="00222655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D320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</w:tr>
      <w:tr w:rsidR="00D320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</w:tr>
      <w:tr w:rsidR="00D320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32014" w:rsidRDefault="00D320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32014" w:rsidRDefault="0022265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014" w:rsidRDefault="00D320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2014" w:rsidRDefault="00D320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D32014" w:rsidRDefault="00D32014"/>
        </w:tc>
      </w:tr>
      <w:tr w:rsidR="00D32014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2014" w:rsidRDefault="0022265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D32014" w:rsidRDefault="00222655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2014" w:rsidRDefault="00222655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014" w:rsidRDefault="0022265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D32014" w:rsidRDefault="0022265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222655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22655">
      <w:pPr>
        <w:spacing w:after="0" w:line="240" w:lineRule="auto"/>
      </w:pPr>
      <w:r>
        <w:separator/>
      </w:r>
    </w:p>
  </w:endnote>
  <w:endnote w:type="continuationSeparator" w:id="0">
    <w:p w:rsidR="00000000" w:rsidRDefault="0022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D320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D320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D3201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32014" w:rsidRDefault="0022265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32014" w:rsidRDefault="0022265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</w:t>
    </w:r>
    <w:r>
      <w:rPr>
        <w:rFonts w:ascii="Times New Roman" w:eastAsia="Times New Roman" w:hAnsi="Times New Roman" w:cs="Times New Roman"/>
        <w:sz w:val="20"/>
      </w:rPr>
      <w:t xml:space="preserve">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D32014" w:rsidRDefault="0022265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22655">
      <w:pPr>
        <w:spacing w:after="0" w:line="240" w:lineRule="auto"/>
      </w:pPr>
      <w:r>
        <w:separator/>
      </w:r>
    </w:p>
  </w:footnote>
  <w:footnote w:type="continuationSeparator" w:id="0">
    <w:p w:rsidR="00000000" w:rsidRDefault="0022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D320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D320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D3201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96" name="Group 83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505" name="Shape 8950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EB6A21" id="Group 83396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Lo8ORR7AgAA&#10;WQYAAA4AAAAAAAAAAAAAAAAALgIAAGRycy9lMm9Eb2MueG1sUEsBAi0AFAAGAAgAAAAhAJY9HrPh&#10;AAAADAEAAA8AAAAAAAAAAAAAAAAA1QQAAGRycy9kb3ducmV2LnhtbFBLBQYAAAAABAAEAPMAAADj&#10;BQAAAAA=&#10;">
              <v:shape id="Shape 8950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RWccA&#10;AADeAAAADwAAAGRycy9kb3ducmV2LnhtbESPT2vCQBTE74V+h+UVvIjZVbBq6ipFbenBg3+C50f2&#10;NQlm36bZVeO37xaEHoeZ+Q0zX3a2FldqfeVYwzBRIIhzZyouNGTHj8EUhA/IBmvHpOFOHpaL56c5&#10;psbdeE/XQyhEhLBPUUMZQpNK6fOSLPrENcTR+3atxRBlW0jT4i3CbS1HSr1KixXHhRIbWpWUnw8X&#10;q2FD/c/TaHemYzYJw/WPovt2Q1r3Xrr3NxCBuvAffrS/jIbpbKzG8HcnX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V0Vn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z Oddziałami Integracyjnymi Nr 20 </w:t>
    </w:r>
  </w:p>
  <w:p w:rsidR="00D32014" w:rsidRDefault="0022265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D32014" w:rsidRDefault="0022265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D32014" w:rsidRDefault="0022265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45" name="Group 83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504" name="Shape 8950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B7B6C8" id="Group 83345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Afolk17AgAA&#10;WQYAAA4AAAAAAAAAAAAAAAAALgIAAGRycy9lMm9Eb2MueG1sUEsBAi0AFAAGAAgAAAAhAJY9HrPh&#10;AAAADAEAAA8AAAAAAAAAAAAAAAAA1QQAAGRycy9kb3ducmV2LnhtbFBLBQYAAAAABAAEAPMAAADj&#10;BQAAAAA=&#10;">
              <v:shape id="Shape 8950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0wscA&#10;AADeAAAADwAAAGRycy9kb3ducmV2LnhtbESPT2vCQBTE70K/w/IKXkrdVaxNU1cp/sODh1ZDz4/s&#10;axLMvk2zq8Zv7xYKHoeZ+Q0znXe2FmdqfeVYw3CgQBDnzlRcaMgO6+cEhA/IBmvHpOFKHuazh94U&#10;U+Mu/EXnfShEhLBPUUMZQpNK6fOSLPqBa4ij9+NaiyHKtpCmxUuE21qOlJpIixXHhRIbWpSUH/cn&#10;q2FFT5vv0eeRDtlrGC5/FV13K9K6/9h9vIMI1IV7+L+9NRqStxc1hr878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ZdM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Przedszkole z Oddziałami Integracyj</w:t>
    </w:r>
    <w:r>
      <w:rPr>
        <w:rFonts w:ascii="Times New Roman" w:eastAsia="Times New Roman" w:hAnsi="Times New Roman" w:cs="Times New Roman"/>
        <w:b/>
        <w:sz w:val="28"/>
      </w:rPr>
      <w:t xml:space="preserve">nymi Nr 20 </w:t>
    </w:r>
  </w:p>
  <w:p w:rsidR="00D32014" w:rsidRDefault="0022265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D32014" w:rsidRDefault="0022265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D32014" w:rsidRDefault="0022265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294" name="Group 832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503" name="Shape 8950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513F7B" id="Group 83294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i7/8AnoCAABZ&#10;BgAADgAAAAAAAAAAAAAAAAAuAgAAZHJzL2Uyb0RvYy54bWxQSwECLQAUAAYACAAAACEAlj0es+EA&#10;AAAMAQAADwAAAAAAAAAAAAAAAADUBAAAZHJzL2Rvd25yZXYueG1sUEsFBgAAAAAEAAQA8wAAAOIF&#10;AAAAAA==&#10;">
              <v:shape id="Shape 8950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stscA&#10;AADeAAAADwAAAGRycy9kb3ducmV2LnhtbESPT2vCQBTE70K/w/IKXkrdValNU1cp/sODh1ZDz4/s&#10;axLMvk2zq8Zv7xYKHoeZ+Q0znXe2FmdqfeVYw3CgQBDnzlRcaMgO6+cEhA/IBmvHpOFKHuazh94U&#10;U+Mu/EXnfShEhLBPUUMZQpNK6fOSLPqBa4ij9+NaiyHKtpCmxUuE21qOlJpIixXHhRIbWpSUH/cn&#10;q2FFT5vv0eeRDtlrGC5/FV13K9K6/9h9vIMI1IV7+L+9NRqStxc1hr878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w7Lb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z Oddziałami Integracyjnymi Nr 20 </w:t>
    </w:r>
  </w:p>
  <w:p w:rsidR="00D32014" w:rsidRDefault="0022265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</w:t>
    </w:r>
    <w:r>
      <w:rPr>
        <w:rFonts w:ascii="Times New Roman" w:eastAsia="Times New Roman" w:hAnsi="Times New Roman" w:cs="Times New Roman"/>
        <w:b/>
        <w:sz w:val="24"/>
      </w:rPr>
      <w:t xml:space="preserve">za rok obrotowy zakończony 31 grudnia 2020 r. </w:t>
    </w:r>
  </w:p>
  <w:p w:rsidR="00D32014" w:rsidRDefault="0022265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D32014" w:rsidRDefault="0022265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Przedszkole z Oddziałami Integracyjnymi Nr 20</w:t>
    </w:r>
  </w:p>
  <w:p w:rsidR="00D32014" w:rsidRDefault="0022265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D32014" w:rsidRDefault="0022265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Przedszkole z Oddziałami Integracyjnymi Nr 20</w:t>
    </w:r>
  </w:p>
  <w:p w:rsidR="00D32014" w:rsidRDefault="0022265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</w:t>
    </w:r>
    <w:r>
      <w:rPr>
        <w:rFonts w:ascii="Times New Roman" w:eastAsia="Times New Roman" w:hAnsi="Times New Roman" w:cs="Times New Roman"/>
        <w:sz w:val="15"/>
      </w:rPr>
      <w:t>zdania finansowego za rok obrotowy zakończony 31 grudnia 2021 r.</w:t>
    </w:r>
  </w:p>
  <w:p w:rsidR="00D32014" w:rsidRDefault="0022265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14" w:rsidRDefault="00222655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Przedszkole z Oddziałami Integracyjnymi Nr 20</w:t>
    </w:r>
  </w:p>
  <w:p w:rsidR="00D32014" w:rsidRDefault="0022265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D32014" w:rsidRDefault="0022265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</w:t>
    </w:r>
    <w:r>
      <w:rPr>
        <w:rFonts w:ascii="Times New Roman" w:eastAsia="Times New Roman" w:hAnsi="Times New Roman" w:cs="Times New Roman"/>
        <w:sz w:val="15"/>
      </w:rPr>
      <w:t>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43C4"/>
    <w:multiLevelType w:val="multilevel"/>
    <w:tmpl w:val="E22A24C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56495"/>
    <w:multiLevelType w:val="hybridMultilevel"/>
    <w:tmpl w:val="D128A9AA"/>
    <w:lvl w:ilvl="0" w:tplc="87D2F2A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074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8C7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CD3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E9D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40F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0C0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A26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03C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57A8B"/>
    <w:multiLevelType w:val="multilevel"/>
    <w:tmpl w:val="E3FA8062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0D23A0"/>
    <w:multiLevelType w:val="hybridMultilevel"/>
    <w:tmpl w:val="F844FDBA"/>
    <w:lvl w:ilvl="0" w:tplc="5BBCC7B2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B4DF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E247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7CBB4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807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4401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CD5F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00C8A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672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FE0AE2"/>
    <w:multiLevelType w:val="multilevel"/>
    <w:tmpl w:val="4638583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4D0219"/>
    <w:multiLevelType w:val="hybridMultilevel"/>
    <w:tmpl w:val="2EA6DD78"/>
    <w:lvl w:ilvl="0" w:tplc="CE60B1D4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88995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6FEF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24FDA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0CF5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442A9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A4C88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0E99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5215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4"/>
    <w:rsid w:val="00222655"/>
    <w:rsid w:val="00D3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AF612-E351-4F75-AD3F-2220BCDC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6143</Words>
  <Characters>36859</Characters>
  <Application>Microsoft Office Word</Application>
  <DocSecurity>0</DocSecurity>
  <Lines>307</Lines>
  <Paragraphs>85</Paragraphs>
  <ScaleCrop>false</ScaleCrop>
  <Company/>
  <LinksUpToDate>false</LinksUpToDate>
  <CharactersWithSpaces>42917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2021-05-07T08:13:00Z</dcterms:created>
  <dcterms:modified xsi:type="dcterms:W3CDTF">2021-05-07T08:13:00Z</dcterms:modified>
</cp:coreProperties>
</file>