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1E" w:rsidRDefault="00BA27F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P208/SR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32171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32171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1"/>
              </w:rPr>
              <w:t>Przedszkole Specjalne nr 208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1"/>
              </w:rPr>
              <w:t>ul. Dzielna 1 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1"/>
              </w:rPr>
              <w:t>00-162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2171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1"/>
              </w:rPr>
              <w:t>tel. 228313923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</w:t>
            </w:r>
            <w:r>
              <w:rPr>
                <w:sz w:val="13"/>
              </w:rPr>
              <w:t xml:space="preserve">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32171E" w:rsidRDefault="00BA27F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32171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32171E" w:rsidRDefault="00BA27FF">
            <w:pPr>
              <w:spacing w:after="0"/>
            </w:pPr>
            <w:r>
              <w:rPr>
                <w:sz w:val="11"/>
              </w:rPr>
              <w:t>017328606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494 543,53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ind w:left="309"/>
            </w:pPr>
            <w:r>
              <w:rPr>
                <w:b/>
                <w:sz w:val="13"/>
              </w:rPr>
              <w:t>432 760,47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166 998,19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111 744,82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4 215 766,16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4 103 033,71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494 543,53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left="309"/>
            </w:pPr>
            <w:r>
              <w:rPr>
                <w:b/>
                <w:sz w:val="13"/>
              </w:rPr>
              <w:t>432 760,47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-4 048 734,75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-3 990 989,06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494 543,53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left="310"/>
            </w:pPr>
            <w:r>
              <w:rPr>
                <w:sz w:val="13"/>
              </w:rPr>
              <w:t>432 760,47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-4 048 734,75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-3 990 989,06</w:t>
            </w:r>
          </w:p>
        </w:tc>
      </w:tr>
      <w:tr w:rsidR="0032171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-33,22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-299,83</w:t>
            </w:r>
          </w:p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365 151,27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left="310"/>
            </w:pPr>
            <w:r>
              <w:rPr>
                <w:sz w:val="13"/>
              </w:rPr>
              <w:t>352 252,07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15 150,00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12 000,00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114 242,26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68 508,40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330 368,11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323 113,20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330 368,11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323 113,20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9 613,65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 xml:space="preserve">12 </w:t>
            </w:r>
            <w:r>
              <w:rPr>
                <w:sz w:val="13"/>
              </w:rPr>
              <w:t>416,83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38 195,22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34 632,83</w:t>
            </w:r>
          </w:p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122 075,00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122 513,96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159 607,23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151 684,58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877,01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1 865,00</w:t>
            </w:r>
          </w:p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2 822,77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2 097,55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32171E" w:rsidRDefault="00BA27F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1 356,80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529,72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1 356,80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529,72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1 432,75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1 268,00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1 432,75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1 268,00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33,22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299,83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33,22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299,83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32171E" w:rsidRDefault="00BA27F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BA27F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171E" w:rsidRDefault="0032171E"/>
        </w:tc>
      </w:tr>
      <w:tr w:rsidR="0032171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497 366,30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309"/>
            </w:pPr>
            <w:r>
              <w:rPr>
                <w:b/>
                <w:sz w:val="13"/>
              </w:rPr>
              <w:t>434 858,02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497 366,30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3"/>
              </w:rPr>
              <w:t>434 858,02</w:t>
            </w:r>
          </w:p>
        </w:tc>
      </w:tr>
      <w:tr w:rsidR="0032171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32171E" w:rsidRDefault="00BA27F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1E" w:rsidRDefault="00BA27F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32171E" w:rsidRDefault="00BA27FF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71E" w:rsidRDefault="00BA27F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32171E" w:rsidRDefault="00BA27FF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32171E" w:rsidRDefault="00BA27FF">
      <w:pPr>
        <w:spacing w:after="306"/>
        <w:ind w:left="127"/>
        <w:jc w:val="center"/>
      </w:pPr>
      <w:r>
        <w:rPr>
          <w:sz w:val="11"/>
        </w:rPr>
        <w:t>Strona 1 z 1</w:t>
      </w:r>
    </w:p>
    <w:p w:rsidR="0032171E" w:rsidRDefault="00BA27FF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32171E" w:rsidRDefault="00BA27F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P208/SR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2171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32171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2171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Przedszkole Specjalne nr 208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2171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ul. Dzielna 1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32171E"/>
        </w:tc>
      </w:tr>
      <w:tr w:rsidR="0032171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00-162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sz w:val="15"/>
              </w:rPr>
              <w:t>na</w:t>
            </w:r>
            <w:r>
              <w:rPr>
                <w:sz w:val="15"/>
              </w:rPr>
              <w:t xml:space="preserve">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32171E"/>
        </w:tc>
      </w:tr>
      <w:tr w:rsidR="0032171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tel. 228313923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2171E" w:rsidRDefault="00BA27F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2171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2171E" w:rsidRDefault="00BA27FF">
            <w:pPr>
              <w:spacing w:after="0"/>
            </w:pPr>
            <w:r>
              <w:rPr>
                <w:sz w:val="13"/>
              </w:rPr>
              <w:t>017328606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</w:tr>
      <w:tr w:rsidR="0032171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32171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51 091,47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33 931,00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51 091,47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33 931,00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4 098 792,28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4 025 632,33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54 191,50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 xml:space="preserve">61 </w:t>
            </w:r>
            <w:r>
              <w:rPr>
                <w:sz w:val="15"/>
              </w:rPr>
              <w:t>783,06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159 738,22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166 996,74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85 677,70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62 737,37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3 120,00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2 931,64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3 061 306,40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3 013 821,18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 xml:space="preserve">734 </w:t>
            </w:r>
            <w:r>
              <w:rPr>
                <w:sz w:val="15"/>
              </w:rPr>
              <w:t>758,46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717 362,34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 xml:space="preserve">C. Zysk (strata) z działalności podstawowej </w:t>
            </w:r>
            <w:r>
              <w:rPr>
                <w:b/>
                <w:sz w:val="15"/>
              </w:rPr>
              <w:t>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-4 047 700,81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-3 991 701,33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1 134,26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709,00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1 134,26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709,00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2 </w:t>
            </w:r>
            <w:r>
              <w:rPr>
                <w:b/>
                <w:sz w:val="15"/>
              </w:rPr>
              <w:t>176,40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217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2 176,40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-4 048 742,95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-3 990 992,33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8,20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3,27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8,20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3,27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-4 048 734,75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-3 990 989,06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-4 048 734,75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-3 990 989,06</w:t>
            </w:r>
          </w:p>
        </w:tc>
      </w:tr>
    </w:tbl>
    <w:p w:rsidR="0032171E" w:rsidRDefault="00BA27F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2171E" w:rsidRDefault="00BA27F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2171E" w:rsidRDefault="00BA27F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2171E" w:rsidRDefault="00BA27F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32171E" w:rsidRDefault="00BA27F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2171E" w:rsidRDefault="00BA27F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32171E" w:rsidRDefault="00BA27F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P208/SR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32171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32171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32171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Przedszkole Specjalne nr 208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32171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</w:pPr>
            <w:r>
              <w:rPr>
                <w:sz w:val="13"/>
              </w:rPr>
              <w:t>ul. Dzielna 1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32171E" w:rsidRDefault="0032171E"/>
        </w:tc>
      </w:tr>
      <w:tr w:rsidR="0032171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right="2513"/>
            </w:pPr>
            <w:r>
              <w:rPr>
                <w:sz w:val="13"/>
              </w:rPr>
              <w:t>00-162 Warszawa tel. 228313923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32171E" w:rsidRDefault="00BA27F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32171E" w:rsidRDefault="00BA27F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32171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32171E" w:rsidRDefault="00BA27FF">
            <w:pPr>
              <w:spacing w:after="0"/>
            </w:pPr>
            <w:r>
              <w:rPr>
                <w:sz w:val="13"/>
              </w:rPr>
              <w:t>017328606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</w:tr>
      <w:tr w:rsidR="0032171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32171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32171E" w:rsidRDefault="00BA27F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3 666 662,32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4 215 766,16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4 076 959,95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3 936 744,52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4 039 002,15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3 936 744,52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37 957,80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3 527 856,11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4 049 476,97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3 488 358,52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4 048 734,75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1 134,26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709,00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405,53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33,22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37 957,80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4 215 766,16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4 103 033,71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-4 048 767,97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-3 991 288,89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-4 048 734,75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-3 990 989,06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33,22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sz w:val="15"/>
              </w:rPr>
              <w:t>299,83</w:t>
            </w:r>
          </w:p>
        </w:tc>
      </w:tr>
      <w:tr w:rsidR="0032171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166 998,19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b/>
                <w:sz w:val="15"/>
              </w:rPr>
              <w:t>111 744,82</w:t>
            </w:r>
          </w:p>
        </w:tc>
      </w:tr>
    </w:tbl>
    <w:p w:rsidR="0032171E" w:rsidRDefault="00BA27F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32171E" w:rsidRDefault="00BA27F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32171E" w:rsidRDefault="00BA27F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32171E" w:rsidRDefault="00BA27F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miesiąc, </w:t>
      </w:r>
      <w:r>
        <w:rPr>
          <w:sz w:val="15"/>
        </w:rPr>
        <w:t>dzień</w:t>
      </w:r>
      <w:r>
        <w:rPr>
          <w:sz w:val="15"/>
        </w:rPr>
        <w:tab/>
        <w:t xml:space="preserve"> Kierownik jednostki</w:t>
      </w:r>
    </w:p>
    <w:p w:rsidR="0032171E" w:rsidRDefault="00BA27F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32171E" w:rsidRDefault="00BA27F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32171E" w:rsidRDefault="0032171E">
      <w:pPr>
        <w:sectPr w:rsidR="003217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32171E" w:rsidRDefault="00BA27FF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32171E" w:rsidRDefault="00BA27FF">
      <w:pPr>
        <w:pStyle w:val="Nagwek1"/>
        <w:ind w:left="2674" w:firstLine="0"/>
        <w:jc w:val="center"/>
      </w:pPr>
      <w:r>
        <w:t xml:space="preserve">Załącznik nr 20 </w:t>
      </w:r>
    </w:p>
    <w:p w:rsidR="0032171E" w:rsidRDefault="00BA27FF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32171E" w:rsidRDefault="00BA27F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39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numPr>
          <w:ilvl w:val="0"/>
          <w:numId w:val="1"/>
        </w:numPr>
        <w:spacing w:after="0"/>
        <w:ind w:hanging="206"/>
      </w:pPr>
      <w:r>
        <w:rPr>
          <w:rFonts w:ascii="Book Antiqua" w:eastAsia="Book Antiqua" w:hAnsi="Book Antiqua" w:cs="Book Antiqua"/>
          <w:b/>
        </w:rPr>
        <w:t xml:space="preserve">Informacje o Przedszkolu Specjalnym nr 208 </w:t>
      </w:r>
    </w:p>
    <w:p w:rsidR="0032171E" w:rsidRDefault="00BA27FF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>Nazwa jed</w:t>
      </w:r>
      <w:r>
        <w:rPr>
          <w:rFonts w:ascii="Book Antiqua" w:eastAsia="Book Antiqua" w:hAnsi="Book Antiqua" w:cs="Book Antiqua"/>
        </w:rPr>
        <w:t xml:space="preserve">nostki 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Przedszkole Specjalne nr 208 </w:t>
      </w:r>
    </w:p>
    <w:p w:rsidR="0032171E" w:rsidRDefault="00BA27F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 xml:space="preserve">Siedziba jednostki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0"/>
        <w:ind w:left="1004" w:hanging="10"/>
      </w:pPr>
      <w:r>
        <w:rPr>
          <w:rFonts w:ascii="Book Antiqua" w:eastAsia="Book Antiqua" w:hAnsi="Book Antiqua" w:cs="Book Antiqua"/>
          <w:b/>
        </w:rPr>
        <w:t xml:space="preserve">Dzielna 1 A, 00-162 Warszawa </w:t>
      </w:r>
    </w:p>
    <w:p w:rsidR="0032171E" w:rsidRDefault="00BA27F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numPr>
          <w:ilvl w:val="1"/>
          <w:numId w:val="1"/>
        </w:num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 xml:space="preserve">Adres jednostki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pStyle w:val="Nagwek1"/>
        <w:ind w:left="1004"/>
      </w:pPr>
      <w:r>
        <w:t xml:space="preserve">Dzielna 1 A, 00-162 Warszawa </w:t>
      </w:r>
    </w:p>
    <w:p w:rsidR="0032171E" w:rsidRDefault="00BA27FF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7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</w:t>
      </w:r>
      <w:r>
        <w:rPr>
          <w:rFonts w:ascii="Times New Roman" w:eastAsia="Times New Roman" w:hAnsi="Times New Roman" w:cs="Times New Roman"/>
          <w:sz w:val="24"/>
        </w:rPr>
        <w:t>jest działalność edukacyjna, wychowawcza i opiekuńcza w zakresie wychowania przedszkolnego.</w:t>
      </w: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32171E" w:rsidRDefault="00BA27FF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spacing w:after="5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32171E" w:rsidRDefault="00BA27F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32171E" w:rsidRDefault="00BA27FF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2171E" w:rsidRDefault="00BA27FF">
      <w:pPr>
        <w:numPr>
          <w:ilvl w:val="0"/>
          <w:numId w:val="2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32171E" w:rsidRDefault="00BA27FF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Wydatki na prenumeratę prasy, prowadzenie stron BIP, abonamenty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BA27FF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32171E" w:rsidRDefault="00BA27FF">
      <w:pPr>
        <w:spacing w:after="9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32171E" w:rsidRDefault="00BA27FF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32171E" w:rsidRDefault="00BA27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2171E" w:rsidRDefault="00BA27F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32171E" w:rsidRDefault="0032171E">
      <w:pPr>
        <w:sectPr w:rsidR="0032171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0" w:bottom="1370" w:left="1702" w:header="861" w:footer="857" w:gutter="0"/>
          <w:cols w:space="708"/>
        </w:sectPr>
      </w:pPr>
    </w:p>
    <w:p w:rsidR="0032171E" w:rsidRDefault="00BA27FF">
      <w:pPr>
        <w:pStyle w:val="Nagwek2"/>
      </w:pPr>
      <w:r>
        <w:lastRenderedPageBreak/>
        <w:t>Załącznik nr 21</w:t>
      </w:r>
    </w:p>
    <w:p w:rsidR="0032171E" w:rsidRDefault="00BA27FF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</w:t>
      </w:r>
      <w:r>
        <w:rPr>
          <w:rFonts w:ascii="Times New Roman" w:eastAsia="Times New Roman" w:hAnsi="Times New Roman" w:cs="Times New Roman"/>
          <w:b/>
          <w:sz w:val="17"/>
        </w:rPr>
        <w:t xml:space="preserve">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6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32171E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BA27FF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2171E" w:rsidRDefault="0032171E"/>
        </w:tc>
      </w:tr>
      <w:tr w:rsidR="0032171E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32171E" w:rsidRDefault="00BA27F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32171E" w:rsidRDefault="00BA27F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613 409,16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22 500,00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410 295,61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1 046 204,77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5 762,79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5 762,79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5 762,79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5 762,79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613 409,16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22 500,00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416 058,40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1 051 967,56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248 257,89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296 053,35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551 661,24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12 899,20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51 496,65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67 545,85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12 899,20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3 150,00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45 733,86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61 783,06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5 762,79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5 762,79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261 157,09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10 500,00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347 550,00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619 207,09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365 151,27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15 150,00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114 242,26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494 543,53</w:t>
            </w:r>
          </w:p>
        </w:tc>
      </w:tr>
      <w:tr w:rsidR="0032171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352 252,07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12 000,00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68 508,40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432 760,47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32171E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32171E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2171E" w:rsidRDefault="0032171E"/>
        </w:tc>
      </w:tr>
      <w:tr w:rsidR="003217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2065"/>
        <w:gridCol w:w="1531"/>
        <w:gridCol w:w="1664"/>
      </w:tblGrid>
      <w:tr w:rsidR="0032171E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32171E" w:rsidRDefault="00BA27FF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32171E" w:rsidRDefault="00BA27FF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32171E" w:rsidRDefault="00BA27FF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32171E" w:rsidRDefault="00BA27FF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32171E" w:rsidRDefault="00BA27FF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32171E" w:rsidRDefault="00BA27FF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32171E" w:rsidRDefault="00BA27FF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32171E" w:rsidRDefault="00BA27FF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32171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32171E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2171E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32171E" w:rsidRDefault="0032171E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32171E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32171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32171E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32171E" w:rsidRDefault="00BA27FF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2171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numPr>
          <w:ilvl w:val="1"/>
          <w:numId w:val="3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62 180,30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62 180,30</w:t>
            </w:r>
          </w:p>
        </w:tc>
      </w:tr>
      <w:tr w:rsidR="0032171E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28 746,85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28 746,85</w:t>
            </w:r>
          </w:p>
        </w:tc>
      </w:tr>
      <w:tr w:rsidR="003217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33 433,45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33 433,45</w:t>
            </w:r>
          </w:p>
        </w:tc>
      </w:tr>
    </w:tbl>
    <w:p w:rsidR="0032171E" w:rsidRDefault="00BA27FF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32171E" w:rsidRDefault="00BA27FF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32171E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2171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32171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</w:tbl>
    <w:p w:rsidR="0032171E" w:rsidRDefault="00BA27FF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32171E" w:rsidRDefault="00BA27F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2065"/>
        <w:gridCol w:w="1238"/>
        <w:gridCol w:w="293"/>
        <w:gridCol w:w="1664"/>
        <w:gridCol w:w="1385"/>
        <w:gridCol w:w="1385"/>
      </w:tblGrid>
      <w:tr w:rsidR="0032171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2171E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1639"/>
        <w:gridCol w:w="545"/>
        <w:gridCol w:w="1222"/>
        <w:gridCol w:w="298"/>
        <w:gridCol w:w="1531"/>
        <w:gridCol w:w="1664"/>
      </w:tblGrid>
      <w:tr w:rsidR="0032171E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32171E" w:rsidRDefault="0032171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5"/>
        <w:gridCol w:w="2065"/>
        <w:gridCol w:w="1531"/>
        <w:gridCol w:w="1664"/>
      </w:tblGrid>
      <w:tr w:rsidR="0032171E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32171E" w:rsidRDefault="00BA27FF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32171E" w:rsidRDefault="00BA27FF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32171E"/>
        </w:tc>
      </w:tr>
    </w:tbl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2171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3217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32171E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29 031,48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43 873,88</w:t>
            </w:r>
          </w:p>
        </w:tc>
      </w:tr>
    </w:tbl>
    <w:p w:rsidR="0032171E" w:rsidRDefault="00BA27FF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32171E" w:rsidRDefault="00BA27FF">
      <w:pPr>
        <w:spacing w:after="0"/>
      </w:pPr>
      <w:r>
        <w:br w:type="page"/>
      </w:r>
    </w:p>
    <w:p w:rsidR="0032171E" w:rsidRDefault="00BA27FF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32171E" w:rsidRDefault="00BA27FF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32171E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32171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32171E" w:rsidRDefault="00BA27FF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32171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32171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1 432,75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1 268,00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1 432,75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1 268,00</w:t>
            </w:r>
          </w:p>
        </w:tc>
      </w:tr>
      <w:tr w:rsidR="0032171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1 432,75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1 268,00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32171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32171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32171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32171E" w:rsidRDefault="00BA27FF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32171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32171E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14 581,16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14 581,16</w:t>
            </w:r>
          </w:p>
        </w:tc>
      </w:tr>
      <w:tr w:rsidR="0032171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14 581,16</w:t>
            </w:r>
          </w:p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32171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32171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r>
        <w:br w:type="page"/>
      </w:r>
    </w:p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32171E" w:rsidRDefault="00BA27FF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2171E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51 091,47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33 931,00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51 091,47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33 166,00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765,00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51 091,47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33 931,00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46 930,66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21 750,95</w:t>
            </w:r>
          </w:p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37 584,82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39 827,35</w:t>
            </w:r>
          </w:p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1 162,22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1 159,07</w:t>
            </w:r>
          </w:p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85 677,70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62 737,37</w:t>
            </w:r>
          </w:p>
        </w:tc>
      </w:tr>
    </w:tbl>
    <w:p w:rsidR="0032171E" w:rsidRDefault="00BA27FF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217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1 134,26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709,00</w:t>
            </w:r>
          </w:p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1 134,26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709,00</w:t>
            </w:r>
          </w:p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1 134,26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709,00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217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2171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32171E"/>
        </w:tc>
      </w:tr>
      <w:tr w:rsidR="0032171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r>
        <w:br w:type="page"/>
      </w:r>
    </w:p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3,27</w:t>
            </w:r>
          </w:p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3,27</w:t>
            </w:r>
          </w:p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8,20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3,27</w:t>
            </w:r>
          </w:p>
        </w:tc>
      </w:tr>
    </w:tbl>
    <w:p w:rsidR="0032171E" w:rsidRDefault="00BA27FF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32171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32171E" w:rsidRDefault="00BA27FF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32171E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</w:tr>
      <w:tr w:rsidR="0032171E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BA27FF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5 732,47</w:t>
            </w:r>
          </w:p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5 732,47</w:t>
            </w:r>
          </w:p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32171E" w:rsidRDefault="0032171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5 732,47</w:t>
            </w:r>
          </w:p>
        </w:tc>
      </w:tr>
    </w:tbl>
    <w:p w:rsidR="0032171E" w:rsidRDefault="00BA27FF">
      <w:pPr>
        <w:numPr>
          <w:ilvl w:val="1"/>
          <w:numId w:val="4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32171E" w:rsidRDefault="00BA27FF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32171E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32171E" w:rsidRDefault="00BA27FF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32171E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171E" w:rsidRDefault="00BA27F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55</w:t>
            </w:r>
          </w:p>
        </w:tc>
      </w:tr>
    </w:tbl>
    <w:p w:rsidR="0032171E" w:rsidRDefault="00BA27FF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32171E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32171E" w:rsidRDefault="00BA27F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</w:tbl>
    <w:p w:rsidR="0032171E" w:rsidRDefault="00BA27FF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32171E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32171E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32171E" w:rsidRDefault="00BA27F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32171E" w:rsidRDefault="00BA27F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32171E" w:rsidRDefault="00BA27F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32171E" w:rsidRDefault="00BA27F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2171E" w:rsidRDefault="0032171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2171E" w:rsidRDefault="00BA27F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171E" w:rsidRDefault="0032171E"/>
        </w:tc>
      </w:tr>
      <w:tr w:rsidR="0032171E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71E" w:rsidRDefault="00BA27FF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32171E" w:rsidRDefault="00BA27FF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71E" w:rsidRDefault="00BA27FF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71E" w:rsidRDefault="00BA27FF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32171E" w:rsidRDefault="00BA27F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BA27FF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27FF">
      <w:pPr>
        <w:spacing w:after="0" w:line="240" w:lineRule="auto"/>
      </w:pPr>
      <w:r>
        <w:separator/>
      </w:r>
    </w:p>
  </w:endnote>
  <w:endnote w:type="continuationSeparator" w:id="0">
    <w:p w:rsidR="00000000" w:rsidRDefault="00BA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</w:t>
    </w:r>
    <w:r>
      <w:rPr>
        <w:rFonts w:ascii="Times New Roman" w:eastAsia="Times New Roman" w:hAnsi="Times New Roman" w:cs="Times New Roman"/>
        <w:sz w:val="20"/>
      </w:rPr>
      <w:t xml:space="preserve">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27FF">
      <w:pPr>
        <w:spacing w:after="0" w:line="240" w:lineRule="auto"/>
      </w:pPr>
      <w:r>
        <w:separator/>
      </w:r>
    </w:p>
  </w:footnote>
  <w:footnote w:type="continuationSeparator" w:id="0">
    <w:p w:rsidR="00000000" w:rsidRDefault="00BA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32171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50" name="Group 8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54" name="Shape 8935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2F68CF" id="Group 8325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IBuhsJ7AgAA&#10;WQYAAA4AAAAAAAAAAAAAAAAALgIAAGRycy9lMm9Eb2MueG1sUEsBAi0AFAAGAAgAAAAhAJY9HrPh&#10;AAAADAEAAA8AAAAAAAAAAAAAAAAA1QQAAGRycy9kb3ducmV2LnhtbFBLBQYAAAAABAAEAPMAAADj&#10;BQAAAAA=&#10;">
              <v:shape id="Shape 8935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ZJ8cA&#10;AADeAAAADwAAAGRycy9kb3ducmV2LnhtbESPS2/CMBCE75X4D9ZW4oLAgfJMMQhRWvXAgZc4r+Il&#10;iYjXITYQ/n2NhNTjaGa+0UzntSnEjSqXW1bQ7UQgiBOrc04VHPbf7TEI55E1FpZJwYMczGeNtynG&#10;2t55S7edT0WAsItRQeZ9GUvpkowMuo4tiYN3spVBH2SVSl3hPcBNIXtRNJQGcw4LGZa0zCg5765G&#10;wYpaP8fe5kz7w8h3vy4RPdYrUqr5Xi8+QXiq/X/41f7VCsaTj0EfnnfCF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mSf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Specjalne nr 208 </w:t>
    </w:r>
  </w:p>
  <w:p w:rsidR="0032171E" w:rsidRDefault="00BA27F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</w:t>
    </w:r>
    <w:r>
      <w:rPr>
        <w:rFonts w:ascii="Times New Roman" w:eastAsia="Times New Roman" w:hAnsi="Times New Roman" w:cs="Times New Roman"/>
        <w:b/>
        <w:sz w:val="24"/>
      </w:rPr>
      <w:t xml:space="preserve">31 grudnia 2020 r. </w:t>
    </w:r>
  </w:p>
  <w:p w:rsidR="0032171E" w:rsidRDefault="00BA27F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97" name="Group 8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53" name="Shape 8935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3590EF" id="Group 83197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+aKMTnoCAABZ&#10;BgAADgAAAAAAAAAAAAAAAAAuAgAAZHJzL2Uyb0RvYy54bWxQSwECLQAUAAYACAAAACEAlj0es+EA&#10;AAAMAQAADwAAAAAAAAAAAAAAAADUBAAAZHJzL2Rvd25yZXYueG1sUEsFBgAAAAAEAAQA8wAAAOIF&#10;AAAAAA==&#10;">
              <v:shape id="Shape 8935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BU8YA&#10;AADeAAAADwAAAGRycy9kb3ducmV2LnhtbESPT4vCMBTE74LfITzBy7KmKrpajSL+Yw97cFX2/Gie&#10;bbF5qU3U+u2NsOBxmJnfMNN5bQpxo8rllhV0OxEI4sTqnFMFx8PmcwTCeWSNhWVS8CAH81mzMcVY&#10;2zv/0m3vUxEg7GJUkHlfxlK6JCODrmNL4uCdbGXQB1mlUld4D3BTyF4UDaXBnMNChiUtM0rO+6tR&#10;sKaP7V9vd6bD8ct3V5eIHj9rUqrdqhcTEJ5q/w7/t7+1gtG4P+jD606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gBU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Specjalne nr 208 </w:t>
    </w:r>
  </w:p>
  <w:p w:rsidR="0032171E" w:rsidRDefault="00BA27F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2171E" w:rsidRDefault="00BA27F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44" name="Group 83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52" name="Shape 8935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ABF5DF" id="Group 83144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BEdiMXeQIAAFkG&#10;AAAOAAAAAAAAAAAAAAAAAC4CAABkcnMvZTJvRG9jLnhtbFBLAQItABQABgAIAAAAIQCWPR6z4QAA&#10;AAwBAAAPAAAAAAAAAAAAAAAAANMEAABkcnMvZG93bnJldi54bWxQSwUGAAAAAAQABADzAAAA4QUA&#10;AAAA&#10;">
              <v:shape id="Shape 8935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kyMcA&#10;AADeAAAADwAAAGRycy9kb3ducmV2LnhtbESPQWvCQBSE70L/w/IKvYhujFhtmlVKq+KhhzZKz4/s&#10;axKSfZtmtxr/vSsIHoeZ+YZJV71pxJE6V1lWMBlHIIhzqysuFBz2m9EChPPIGhvLpOBMDlbLh0GK&#10;ibYn/qZj5gsRIOwSVFB63yZSurwkg25sW+Lg/drOoA+yK6Tu8BTgppFxFD1LgxWHhRJbei8pr7N/&#10;o2BNw+1P/FXT/jD3k4+/iM6fa1Lq6bF/ewXhqff38K290woWL9NZDNc74Qr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EpMj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Przedszkole Sp</w:t>
    </w:r>
    <w:r>
      <w:rPr>
        <w:rFonts w:ascii="Times New Roman" w:eastAsia="Times New Roman" w:hAnsi="Times New Roman" w:cs="Times New Roman"/>
        <w:b/>
        <w:sz w:val="28"/>
      </w:rPr>
      <w:t xml:space="preserve">ecjalne nr 208 </w:t>
    </w:r>
  </w:p>
  <w:p w:rsidR="0032171E" w:rsidRDefault="00BA27F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32171E" w:rsidRDefault="00BA27F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32171E" w:rsidRDefault="00BA27F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Przedszkole Specjalne Nr 208</w:t>
    </w:r>
  </w:p>
  <w:p w:rsidR="0032171E" w:rsidRDefault="00BA27FF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2171E" w:rsidRDefault="00BA27FF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Przedszkole Specjalne Nr 208</w:t>
    </w:r>
  </w:p>
  <w:p w:rsidR="0032171E" w:rsidRDefault="00BA27FF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</w:t>
    </w:r>
    <w:r>
      <w:rPr>
        <w:rFonts w:ascii="Times New Roman" w:eastAsia="Times New Roman" w:hAnsi="Times New Roman" w:cs="Times New Roman"/>
        <w:sz w:val="15"/>
      </w:rPr>
      <w:t xml:space="preserve"> zakończony 31 grudnia 2021 r.</w:t>
    </w:r>
  </w:p>
  <w:p w:rsidR="0032171E" w:rsidRDefault="00BA27FF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71E" w:rsidRDefault="00BA27FF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Przedszkole Specjalne Nr 208</w:t>
    </w:r>
  </w:p>
  <w:p w:rsidR="0032171E" w:rsidRDefault="00BA27FF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32171E" w:rsidRDefault="00BA27FF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690D"/>
    <w:multiLevelType w:val="multilevel"/>
    <w:tmpl w:val="CF86FB14"/>
    <w:lvl w:ilvl="0">
      <w:start w:val="1"/>
      <w:numFmt w:val="decimal"/>
      <w:lvlText w:val="%1."/>
      <w:lvlJc w:val="left"/>
      <w:pPr>
        <w:ind w:left="5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D088F"/>
    <w:multiLevelType w:val="multilevel"/>
    <w:tmpl w:val="22CC4FC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F081A"/>
    <w:multiLevelType w:val="multilevel"/>
    <w:tmpl w:val="133ADE9E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B0E42"/>
    <w:multiLevelType w:val="hybridMultilevel"/>
    <w:tmpl w:val="4738A70C"/>
    <w:lvl w:ilvl="0" w:tplc="F9E8D5D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88C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626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206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A9F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C7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15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B04E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8C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1E"/>
    <w:rsid w:val="0032171E"/>
    <w:rsid w:val="00B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E8C8A-3437-4025-BCC0-4AD7551E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6110</Words>
  <Characters>36665</Characters>
  <Application>Microsoft Office Word</Application>
  <DocSecurity>0</DocSecurity>
  <Lines>305</Lines>
  <Paragraphs>85</Paragraphs>
  <ScaleCrop>false</ScaleCrop>
  <Company/>
  <LinksUpToDate>false</LinksUpToDate>
  <CharactersWithSpaces>42690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2021-05-07T08:18:00Z</dcterms:created>
  <dcterms:modified xsi:type="dcterms:W3CDTF">2021-05-07T08:18:00Z</dcterms:modified>
</cp:coreProperties>
</file>