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AD" w:rsidRDefault="00554A0E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P21/SR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C30AAD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C30AAD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1"/>
              </w:rPr>
              <w:t>Przedszkole nr 21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1"/>
              </w:rPr>
              <w:t>Warszawa, ul. MARSZAŁKOWSKA 27/35A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1"/>
              </w:rPr>
              <w:t>00-693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C30AAD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1"/>
              </w:rPr>
              <w:t>tel. 228251785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C30AAD" w:rsidRDefault="00554A0E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C30AAD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C30AAD" w:rsidRDefault="00554A0E">
            <w:pPr>
              <w:spacing w:after="0"/>
            </w:pPr>
            <w:r>
              <w:rPr>
                <w:sz w:val="11"/>
              </w:rPr>
              <w:t>013004350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30AAD" w:rsidRDefault="00554A0E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30AAD" w:rsidRDefault="00554A0E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-125 437,81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-118 557,76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</w:t>
            </w:r>
            <w:r>
              <w:rPr>
                <w:b/>
                <w:sz w:val="13"/>
              </w:rPr>
              <w:t>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1 606 524,43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1 409 121,24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-1 731 939,24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-1 527 663,83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-1 731 939,24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-1 527 663,83</w:t>
            </w:r>
          </w:p>
        </w:tc>
      </w:tr>
      <w:tr w:rsidR="00C30AAD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-23,00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-15,17</w:t>
            </w:r>
          </w:p>
        </w:tc>
      </w:tr>
      <w:tr w:rsidR="00C30AA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b/>
                <w:sz w:val="13"/>
              </w:rPr>
              <w:t xml:space="preserve">C. </w:t>
            </w:r>
            <w:r>
              <w:rPr>
                <w:b/>
                <w:sz w:val="13"/>
              </w:rPr>
              <w:t>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132 063,04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129 573,49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3. Zaliczki na środki trwałe</w:t>
            </w:r>
            <w:r>
              <w:rPr>
                <w:sz w:val="13"/>
              </w:rPr>
              <w:t xml:space="preserve">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132 063,04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129 573,49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6 403,50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9 019,35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2. Zobowiązania </w:t>
            </w:r>
            <w:r>
              <w:rPr>
                <w:sz w:val="13"/>
              </w:rPr>
              <w:t>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10 490,00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11 457,17</w:t>
            </w:r>
          </w:p>
        </w:tc>
      </w:tr>
      <w:tr w:rsidR="00C30AA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56 090,96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50 807,52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58 469,10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56 914,88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 xml:space="preserve">3. Inne </w:t>
            </w:r>
            <w:r>
              <w:rPr>
                <w:sz w:val="13"/>
              </w:rPr>
              <w:t>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609,48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1 374,57</w:t>
            </w:r>
          </w:p>
        </w:tc>
      </w:tr>
      <w:tr w:rsidR="00C30AA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30AA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6 625,23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11 015,73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right="14"/>
              <w:jc w:val="center"/>
            </w:pPr>
            <w:r>
              <w:rPr>
                <w:sz w:val="13"/>
              </w:rPr>
              <w:t xml:space="preserve">7. </w:t>
            </w:r>
            <w:r>
              <w:rPr>
                <w:sz w:val="13"/>
              </w:rPr>
              <w:t>Rozliczenia z tytułu środków na wydatki budżetowe i z tytułu</w:t>
            </w:r>
          </w:p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C30AAD" w:rsidRDefault="00554A0E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5 922,33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10 985,83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5 922,33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10 985,83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14,73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 xml:space="preserve">1. </w:t>
            </w:r>
            <w:r>
              <w:rPr>
                <w:sz w:val="13"/>
              </w:rPr>
              <w:t>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14,73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</w:t>
            </w:r>
            <w:r>
              <w:rPr>
                <w:sz w:val="13"/>
              </w:rPr>
              <w:t xml:space="preserve">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23,00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15,17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23,00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15,17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679,90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554A0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AAD" w:rsidRDefault="00C30AAD"/>
        </w:tc>
      </w:tr>
      <w:tr w:rsidR="00C30AA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6 </w:t>
            </w:r>
            <w:r>
              <w:rPr>
                <w:b/>
                <w:sz w:val="13"/>
              </w:rPr>
              <w:t>625,23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11 015,73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6 625,23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3"/>
              </w:rPr>
              <w:t>11 015,73</w:t>
            </w:r>
          </w:p>
        </w:tc>
      </w:tr>
      <w:tr w:rsidR="00C30AAD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C30AAD" w:rsidRDefault="00554A0E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AD" w:rsidRDefault="00554A0E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C30AAD" w:rsidRDefault="00554A0E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AAD" w:rsidRDefault="00554A0E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C30AAD" w:rsidRDefault="00554A0E">
            <w:pPr>
              <w:spacing w:after="0"/>
              <w:ind w:left="1496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Kierownik jednostki</w:t>
            </w:r>
          </w:p>
        </w:tc>
      </w:tr>
    </w:tbl>
    <w:p w:rsidR="00C30AAD" w:rsidRDefault="00554A0E">
      <w:pPr>
        <w:spacing w:after="306"/>
        <w:ind w:left="127"/>
        <w:jc w:val="center"/>
      </w:pPr>
      <w:r>
        <w:rPr>
          <w:sz w:val="11"/>
        </w:rPr>
        <w:t>Strona 1 z 1</w:t>
      </w:r>
    </w:p>
    <w:p w:rsidR="00C30AAD" w:rsidRDefault="00554A0E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C30AAD" w:rsidRDefault="00554A0E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</w:t>
      </w:r>
      <w:r>
        <w:rPr>
          <w:rFonts w:ascii="Calibri" w:eastAsia="Calibri" w:hAnsi="Calibri" w:cs="Calibri"/>
          <w:sz w:val="18"/>
        </w:rPr>
        <w:t xml:space="preserve"> P21/SR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C30AAD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C30AA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C30AAD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3"/>
              </w:rPr>
              <w:t>Przedszkole nr 21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C30AAD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3"/>
              </w:rPr>
              <w:t>Warszawa, ul. MARSZAŁKOWSKA 27/35A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C30AAD"/>
        </w:tc>
      </w:tr>
      <w:tr w:rsidR="00C30AAD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3"/>
              </w:rPr>
              <w:t>00-693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C30AAD"/>
        </w:tc>
      </w:tr>
      <w:tr w:rsidR="00C30AAD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3"/>
              </w:rPr>
              <w:t>tel. 228251785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C30AAD" w:rsidRDefault="00554A0E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C30AA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C30AAD" w:rsidRDefault="00554A0E">
            <w:pPr>
              <w:spacing w:after="0"/>
            </w:pPr>
            <w:r>
              <w:rPr>
                <w:sz w:val="13"/>
              </w:rPr>
              <w:t>013004350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AAD" w:rsidRDefault="00C30AAD"/>
        </w:tc>
      </w:tr>
      <w:tr w:rsidR="00C30AA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C30AA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133 893,00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109 028,60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133 893,00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109 028,60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II.</w:t>
            </w:r>
            <w:r>
              <w:rPr>
                <w:sz w:val="15"/>
              </w:rPr>
              <w:t xml:space="preserve">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V. Dotacje na finan</w:t>
            </w:r>
            <w:r>
              <w:rPr>
                <w:sz w:val="15"/>
              </w:rPr>
              <w:t>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1 866 123,78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1 690 478,69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2 383,32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330 199,28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240 006,74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 xml:space="preserve">III. </w:t>
            </w:r>
            <w:r>
              <w:rPr>
                <w:sz w:val="15"/>
              </w:rPr>
              <w:t>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149 896,01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41 454,29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3 024,00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2 483,10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1 099 022,98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1 109 824,53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279 508,99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292 874,43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2 089,20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3 835,60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-1 732 230,78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-1 581 450,09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D. Pozostałe przychody operacy</w:t>
            </w:r>
            <w:r>
              <w:rPr>
                <w:b/>
                <w:sz w:val="15"/>
              </w:rPr>
              <w:t>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277,00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53 779,08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277,00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53 779,08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30AA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 xml:space="preserve">I. Koszty inwestycji finansowanych ze środków własnych </w:t>
            </w:r>
            <w:r>
              <w:rPr>
                <w:sz w:val="15"/>
              </w:rPr>
              <w:t>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-1 731 953,78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-1 527 671,01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 xml:space="preserve">G. Przychody </w:t>
            </w:r>
            <w:r>
              <w:rPr>
                <w:b/>
                <w:sz w:val="15"/>
              </w:rPr>
              <w:t>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14,54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7,18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14,54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7,18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-1 731 939,24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-1 527 663,83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 xml:space="preserve">J. Podatek </w:t>
            </w:r>
            <w:r>
              <w:rPr>
                <w:b/>
                <w:sz w:val="15"/>
              </w:rPr>
              <w:t>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-1 731 939,24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-1 527 663,83</w:t>
            </w:r>
          </w:p>
        </w:tc>
      </w:tr>
    </w:tbl>
    <w:p w:rsidR="00C30AAD" w:rsidRDefault="00554A0E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C30AAD" w:rsidRDefault="00554A0E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C30AAD" w:rsidRDefault="00554A0E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C30AAD" w:rsidRDefault="00554A0E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C30AAD" w:rsidRDefault="00554A0E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C30AAD" w:rsidRDefault="00554A0E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 xml:space="preserve">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C30AAD" w:rsidRDefault="00554A0E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P21/SR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C30AAD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C30AA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C30AAD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C30AAD" w:rsidRDefault="00554A0E">
            <w:pPr>
              <w:spacing w:after="0"/>
            </w:pPr>
            <w:r>
              <w:rPr>
                <w:sz w:val="13"/>
              </w:rPr>
              <w:t>Przedszkole nr 21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C30AAD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</w:pPr>
            <w:r>
              <w:rPr>
                <w:sz w:val="13"/>
              </w:rPr>
              <w:t>Warszawa, ul. MARSZAŁKOWSKA 27/35A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30AAD" w:rsidRDefault="00C30AAD"/>
        </w:tc>
      </w:tr>
      <w:tr w:rsidR="00C30AAD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right="2408"/>
            </w:pPr>
            <w:r>
              <w:rPr>
                <w:sz w:val="13"/>
              </w:rPr>
              <w:t>00-693 WARSZAWA tel. 228251785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C30AAD" w:rsidRDefault="00554A0E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C30AAD" w:rsidRDefault="00554A0E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C30AA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C30AAD" w:rsidRDefault="00554A0E">
            <w:pPr>
              <w:spacing w:after="0"/>
            </w:pPr>
            <w:r>
              <w:rPr>
                <w:sz w:val="13"/>
              </w:rPr>
              <w:t>013004350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</w:tr>
      <w:tr w:rsidR="00C30AA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C30AA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30AAD" w:rsidRDefault="00554A0E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1 337 069,14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1 606 524,43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1 717 097,77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1 534 808,05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1 716 770,57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1 534 808,05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327,20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1 447 642,48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1 732 211,24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1 446 976,66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1 731 939,24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277,00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249,00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 xml:space="preserve">2.3. Rozliczenie wyniku </w:t>
            </w:r>
            <w:r>
              <w:rPr>
                <w:sz w:val="15"/>
              </w:rPr>
              <w:t>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61,62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23,00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</w:t>
            </w:r>
            <w:r>
              <w:rPr>
                <w:sz w:val="15"/>
              </w:rPr>
              <w:t>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327,20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II. Fundusz jednostki na</w:t>
            </w:r>
            <w:r>
              <w:rPr>
                <w:b/>
                <w:sz w:val="15"/>
              </w:rPr>
              <w:t xml:space="preserve">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1 606 524,43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1 409 121,24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-1 732 515,54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-1 527 679,00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-1 732 492,54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-1 527 663,83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23,00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sz w:val="15"/>
              </w:rPr>
              <w:t>15,17</w:t>
            </w:r>
          </w:p>
        </w:tc>
      </w:tr>
      <w:tr w:rsidR="00C30AA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b/>
                <w:sz w:val="15"/>
              </w:rPr>
              <w:t xml:space="preserve">IV. </w:t>
            </w:r>
            <w:r>
              <w:rPr>
                <w:b/>
                <w:sz w:val="15"/>
              </w:rPr>
              <w:t>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-125 991,11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b/>
                <w:sz w:val="15"/>
              </w:rPr>
              <w:t>-118 557,76</w:t>
            </w:r>
          </w:p>
        </w:tc>
      </w:tr>
    </w:tbl>
    <w:p w:rsidR="00C30AAD" w:rsidRDefault="00554A0E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C30AAD" w:rsidRDefault="00554A0E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C30AAD" w:rsidRDefault="00554A0E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C30AAD" w:rsidRDefault="00554A0E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</w:t>
      </w:r>
      <w:r>
        <w:rPr>
          <w:sz w:val="15"/>
        </w:rPr>
        <w:t>Kierownik jednostki</w:t>
      </w:r>
    </w:p>
    <w:p w:rsidR="00C30AAD" w:rsidRDefault="00554A0E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C30AAD" w:rsidRDefault="00554A0E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C30AAD" w:rsidRDefault="00C30AAD">
      <w:pPr>
        <w:sectPr w:rsidR="00C30A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C30AAD" w:rsidRDefault="00554A0E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C30AAD" w:rsidRDefault="00554A0E">
      <w:pPr>
        <w:pStyle w:val="Nagwek1"/>
        <w:spacing w:after="0" w:line="259" w:lineRule="auto"/>
        <w:ind w:left="2674" w:firstLine="0"/>
        <w:jc w:val="center"/>
      </w:pPr>
      <w:r>
        <w:t xml:space="preserve">Załącznik nr 20 </w:t>
      </w:r>
    </w:p>
    <w:p w:rsidR="00C30AAD" w:rsidRDefault="00554A0E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C30AAD" w:rsidRDefault="00554A0E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40" w:line="247" w:lineRule="auto"/>
        <w:ind w:right="8299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30AAD" w:rsidRDefault="00554A0E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Przedszkolu Nr 21  </w:t>
      </w:r>
    </w:p>
    <w:p w:rsidR="00C30AAD" w:rsidRDefault="00554A0E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Nazwa jednost</w:t>
      </w:r>
      <w:r>
        <w:rPr>
          <w:rFonts w:ascii="Book Antiqua" w:eastAsia="Book Antiqua" w:hAnsi="Book Antiqua" w:cs="Book Antiqua"/>
        </w:rPr>
        <w:t xml:space="preserve">ki: Przedszkole  Nr 21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ul. Marszałkowska 21/35A, 00-693 Warszawa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ul. Marszałkowska 21/35A , 00-693  Warszawa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: </w:t>
      </w:r>
    </w:p>
    <w:p w:rsidR="00C30AAD" w:rsidRDefault="00554A0E">
      <w:pPr>
        <w:spacing w:after="29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31" w:line="247" w:lineRule="auto"/>
        <w:ind w:right="-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0AAD" w:rsidRDefault="00554A0E">
      <w:pPr>
        <w:spacing w:after="0"/>
        <w:ind w:left="566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4" w:line="268" w:lineRule="auto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C30AAD" w:rsidRDefault="00554A0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30AAD" w:rsidRDefault="00554A0E">
      <w:pPr>
        <w:spacing w:after="3"/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01.01.2020r - 31.12.2020r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C30AAD" w:rsidRDefault="00554A0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30AAD" w:rsidRDefault="00554A0E">
      <w:pPr>
        <w:spacing w:after="8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                             Nie dotyczy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11"/>
        <w:ind w:left="566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C30AAD" w:rsidRDefault="00554A0E">
      <w:pPr>
        <w:spacing w:after="2" w:line="247" w:lineRule="auto"/>
        <w:ind w:right="-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C30AAD" w:rsidRDefault="00554A0E">
      <w:pPr>
        <w:spacing w:after="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0AAD" w:rsidRDefault="00554A0E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C30AAD" w:rsidRDefault="00554A0E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</w:t>
      </w:r>
      <w:r>
        <w:rPr>
          <w:rFonts w:ascii="Times New Roman" w:eastAsia="Times New Roman" w:hAnsi="Times New Roman" w:cs="Times New Roman"/>
          <w:sz w:val="24"/>
        </w:rPr>
        <w:t xml:space="preserve">ki trwałe wyceniane były na dzień bilansowy według ceny nabycia pomniejszonej o dotychczas dokonane odpisy umorzeniowe; </w:t>
      </w:r>
    </w:p>
    <w:p w:rsidR="00C30AAD" w:rsidRDefault="00554A0E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</w:t>
      </w:r>
      <w:r>
        <w:rPr>
          <w:rFonts w:ascii="Times New Roman" w:eastAsia="Times New Roman" w:hAnsi="Times New Roman" w:cs="Times New Roman"/>
          <w:sz w:val="24"/>
        </w:rPr>
        <w:t xml:space="preserve">niowe; </w:t>
      </w:r>
    </w:p>
    <w:p w:rsidR="00C30AAD" w:rsidRDefault="00554A0E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C30AAD" w:rsidRDefault="00554A0E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C30AAD" w:rsidRDefault="00554A0E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>dencję niskowartościowych przedmiotów i praw o wartości nabycia powyżej 500,00 zł i nie przekraczającej 10 000,00 zł o przewidywanym okresie użytkowania powyżej roku prowadzi się na koncie analitycznym 013 (ewidencja wartościowa).  W momencie przyjęcia ich</w:t>
      </w:r>
      <w:r>
        <w:rPr>
          <w:rFonts w:ascii="Times New Roman" w:eastAsia="Times New Roman" w:hAnsi="Times New Roman" w:cs="Times New Roman"/>
          <w:sz w:val="24"/>
        </w:rPr>
        <w:t xml:space="preserve"> do użytkowania dokonuje się jednorazowych odpisów ich wartości nabycia w koszty; </w:t>
      </w:r>
    </w:p>
    <w:p w:rsidR="00C30AAD" w:rsidRDefault="00554A0E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</w:t>
      </w:r>
      <w:r>
        <w:rPr>
          <w:rFonts w:ascii="Times New Roman" w:eastAsia="Times New Roman" w:hAnsi="Times New Roman" w:cs="Times New Roman"/>
          <w:sz w:val="24"/>
        </w:rPr>
        <w:t xml:space="preserve">ualnej w momencie otrzymania). Wartość przyjętych nieodpłatnie aktywów, w tym środków obrotowych, w ramach centralnego zaopatrzenia odnosi się w ciężar funduszu jednostki. </w:t>
      </w:r>
    </w:p>
    <w:p w:rsidR="00C30AAD" w:rsidRDefault="00554A0E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Należności wycenione zostały w wartości podlegającej zapłacie w sposób pozwalający </w:t>
      </w:r>
      <w:r>
        <w:rPr>
          <w:rFonts w:ascii="Times New Roman" w:eastAsia="Times New Roman" w:hAnsi="Times New Roman" w:cs="Times New Roman"/>
          <w:sz w:val="24"/>
        </w:rPr>
        <w:t>na wyodrębnienie ich tytułów, kontrahentów, podziału na długo i krótkoterminowe według klasyfikacji wymaganej w raportowaniu budżetowym. Wartość należności na dzień bilansowy aktualizuje się z uwzględnieniem prawdopodobieństwa zapłaty oraz stopnia ich prze</w:t>
      </w:r>
      <w:r>
        <w:rPr>
          <w:rFonts w:ascii="Times New Roman" w:eastAsia="Times New Roman" w:hAnsi="Times New Roman" w:cs="Times New Roman"/>
          <w:sz w:val="24"/>
        </w:rPr>
        <w:t xml:space="preserve">terminowania. Odsetki od nieterminowych płatności należności ujmuje się nie później niż pod datą ostatniego dnia kwartału w wysokości odsetek należnych na </w:t>
      </w:r>
      <w:r>
        <w:rPr>
          <w:rFonts w:ascii="Times New Roman" w:eastAsia="Times New Roman" w:hAnsi="Times New Roman" w:cs="Times New Roman"/>
          <w:sz w:val="24"/>
        </w:rPr>
        <w:lastRenderedPageBreak/>
        <w:t>koniec tego kwartału lub w momencie zapłaty. Odpisy aktualizujące obciążają pozostałe koszty operacyj</w:t>
      </w:r>
      <w:r>
        <w:rPr>
          <w:rFonts w:ascii="Times New Roman" w:eastAsia="Times New Roman" w:hAnsi="Times New Roman" w:cs="Times New Roman"/>
          <w:sz w:val="24"/>
        </w:rPr>
        <w:t xml:space="preserve">ne i finansowe; </w:t>
      </w:r>
    </w:p>
    <w:p w:rsidR="00C30AAD" w:rsidRDefault="00554A0E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przeda</w:t>
      </w:r>
      <w:r>
        <w:rPr>
          <w:rFonts w:ascii="Times New Roman" w:eastAsia="Times New Roman" w:hAnsi="Times New Roman" w:cs="Times New Roman"/>
          <w:sz w:val="24"/>
        </w:rPr>
        <w:t xml:space="preserve">wnione i umorzone zobowiązania wycenia się w kwocie wymagającej zapłaty i ujmuje w przychodach finansowych. Rezerwy na zobowiązania nie są tworzone. </w:t>
      </w:r>
    </w:p>
    <w:p w:rsidR="00C30AAD" w:rsidRDefault="00554A0E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</w:t>
      </w:r>
      <w:r>
        <w:rPr>
          <w:rFonts w:ascii="Times New Roman" w:eastAsia="Times New Roman" w:hAnsi="Times New Roman" w:cs="Times New Roman"/>
          <w:sz w:val="24"/>
        </w:rPr>
        <w:t>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0AAD" w:rsidRDefault="00554A0E">
      <w:pPr>
        <w:numPr>
          <w:ilvl w:val="0"/>
          <w:numId w:val="1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C30AAD" w:rsidRDefault="00554A0E">
      <w:pPr>
        <w:numPr>
          <w:ilvl w:val="0"/>
          <w:numId w:val="1"/>
        </w:numPr>
        <w:spacing w:after="6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0AAD" w:rsidRDefault="00554A0E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554A0E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C30AAD" w:rsidRDefault="00554A0E">
      <w:pPr>
        <w:spacing w:after="37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C30AAD" w:rsidRDefault="00554A0E">
      <w:pPr>
        <w:spacing w:after="4" w:line="268" w:lineRule="auto"/>
        <w:ind w:left="1122" w:hanging="571"/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 jednostce nie wystąpiła korekta bilansu otwarcia 2020 roku  </w:t>
      </w:r>
      <w:r>
        <w:rPr>
          <w:rFonts w:ascii="Book Antiqua" w:eastAsia="Book Antiqua" w:hAnsi="Book Antiqua" w:cs="Book Antiqua"/>
          <w:b/>
        </w:rPr>
        <w:t>oraz zmiana w prezentacji poszczególnych pozycji sprawozdania finansowego.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0AAD" w:rsidRDefault="00554A0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30AAD" w:rsidRDefault="00554A0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30AAD" w:rsidRDefault="00554A0E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30AAD" w:rsidRDefault="00554A0E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C30AAD" w:rsidRDefault="00C30AAD">
      <w:pPr>
        <w:sectPr w:rsidR="00C30AA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634" w:right="1130" w:bottom="1383" w:left="1702" w:header="861" w:footer="857" w:gutter="0"/>
          <w:cols w:space="708"/>
        </w:sectPr>
      </w:pPr>
    </w:p>
    <w:p w:rsidR="00C30AAD" w:rsidRDefault="00554A0E">
      <w:pPr>
        <w:pStyle w:val="Nagwek2"/>
      </w:pPr>
      <w:r>
        <w:lastRenderedPageBreak/>
        <w:t>Załącznik nr 21</w:t>
      </w:r>
    </w:p>
    <w:p w:rsidR="00C30AAD" w:rsidRDefault="00554A0E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</w:t>
      </w:r>
      <w:r>
        <w:rPr>
          <w:rFonts w:ascii="Book Antiqua" w:eastAsia="Book Antiqua" w:hAnsi="Book Antiqua" w:cs="Book Antiqua"/>
          <w:sz w:val="15"/>
        </w:rPr>
        <w:t>wych i sprawozdań  finansowych w Urzędzie m.st. Warszawy i  jednostkach organizacyjnych m.st. Warszawy</w:t>
      </w:r>
    </w:p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C30AAD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554A0E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30AAD" w:rsidRDefault="00C30AAD"/>
        </w:tc>
      </w:tr>
      <w:tr w:rsidR="00C30AAD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30AAD" w:rsidRDefault="00554A0E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C30AAD" w:rsidRDefault="00554A0E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30AAD" w:rsidRDefault="00554A0E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C30AAD" w:rsidRDefault="00554A0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30AAD" w:rsidRDefault="00554A0E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30AAD" w:rsidRDefault="00554A0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30AAD" w:rsidRDefault="00554A0E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30AAD" w:rsidRDefault="00554A0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C30AAD" w:rsidRDefault="00554A0E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C30AA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50 812,20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3 056,10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240 959,12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294 827,42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24 972,66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24 972,66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24 972,66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24 972,66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6 526,38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6 526,38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6 526,38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6 526,38</w:t>
            </w:r>
          </w:p>
        </w:tc>
      </w:tr>
      <w:tr w:rsidR="00C30AA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50 812,20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3 056,10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259 405,40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313 273,70</w:t>
            </w:r>
          </w:p>
        </w:tc>
      </w:tr>
      <w:tr w:rsidR="00C30AA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50 812,20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3 056,10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240 959,12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294 827,42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24 972,66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24 972,66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24 972,66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24 972,66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6 526,38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6 526,38</w:t>
            </w:r>
          </w:p>
        </w:tc>
      </w:tr>
      <w:tr w:rsidR="00C30AA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6 526,38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6 526,38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50 812,20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3 056,10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259 405,40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313 273,70</w:t>
            </w:r>
          </w:p>
        </w:tc>
      </w:tr>
      <w:tr w:rsidR="00C30AA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</w:tblGrid>
      <w:tr w:rsidR="00C30AAD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C30AAD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30AAD" w:rsidRDefault="00C30AAD"/>
        </w:tc>
      </w:tr>
      <w:tr w:rsidR="00C30AA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30AAD" w:rsidRDefault="00554A0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lastRenderedPageBreak/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30AAD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30AAD" w:rsidRDefault="00554A0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30AA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30AAD">
        <w:trPr>
          <w:trHeight w:val="290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30AAD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lastRenderedPageBreak/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C30AAD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C30AAD" w:rsidRDefault="00554A0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C30AAD" w:rsidRDefault="00554A0E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C30AAD" w:rsidRDefault="00554A0E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C30AAD" w:rsidRDefault="00554A0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C30AAD" w:rsidRDefault="00554A0E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C30AAD" w:rsidRDefault="00554A0E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C30AAD" w:rsidRDefault="00554A0E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C30AAD" w:rsidRDefault="00554A0E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C30AAD" w:rsidRDefault="00554A0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C30AAD" w:rsidRDefault="00554A0E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C30AAD" w:rsidRDefault="00554A0E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C30AAD" w:rsidRDefault="00554A0E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C30AA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C30AAD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C30AAD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C30AAD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554A0E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C30AAD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C30AAD" w:rsidRDefault="00C30AAD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C30AAD" w:rsidRDefault="00554A0E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C30AAD" w:rsidRDefault="00554A0E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C30AAD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C30AAD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C30AAD" w:rsidRDefault="00554A0E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C30AAD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30AAD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</w:tbl>
    <w:p w:rsidR="00C30AAD" w:rsidRDefault="00554A0E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C30AAD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30AAD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0AAD" w:rsidRDefault="00554A0E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0AAD" w:rsidRDefault="00554A0E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</w:tr>
      <w:tr w:rsidR="00C30AA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</w:tbl>
    <w:p w:rsidR="00C30AAD" w:rsidRDefault="00554A0E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C30AAD" w:rsidRDefault="00554A0E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0"/>
        <w:gridCol w:w="1638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C30AAD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C30AAD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</w:tr>
      <w:tr w:rsidR="00C30AAD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C30AAD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</w:tr>
      <w:tr w:rsidR="00C30AA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</w:tr>
    </w:tbl>
    <w:p w:rsidR="00C30AAD" w:rsidRDefault="00554A0E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C30AA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C30AAD" w:rsidRDefault="00554A0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30AAD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</w:tr>
      <w:tr w:rsidR="00C30AAD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C30AAD" w:rsidRDefault="00554A0E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C30AAD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554A0E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30AAD" w:rsidRDefault="00C30AA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C30AA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30AAD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30AA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30AA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30AAD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C30AAD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C30AA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C30AA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C30AA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30AAD" w:rsidRDefault="00C30AA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C30AA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C30AAD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C30AAD" w:rsidRDefault="00554A0E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C30AAD" w:rsidRDefault="00554A0E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C30AAD" w:rsidRDefault="00554A0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C30AA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30AA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30AAD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30AA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679,90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679,90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679,90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30AA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30AA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30AA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30AAD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C30AAD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43 014,76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19 895,30</w:t>
            </w:r>
          </w:p>
        </w:tc>
      </w:tr>
    </w:tbl>
    <w:p w:rsidR="00C30AAD" w:rsidRDefault="00554A0E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C30AAD" w:rsidRDefault="00554A0E">
      <w:pPr>
        <w:spacing w:after="0"/>
      </w:pPr>
      <w:r>
        <w:br w:type="page"/>
      </w:r>
    </w:p>
    <w:p w:rsidR="00C30AAD" w:rsidRDefault="00554A0E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C30AAD" w:rsidRDefault="00554A0E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C30AAD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C30AAD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AAD" w:rsidRDefault="00C30AA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30AA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30AA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14,73</w:t>
            </w:r>
          </w:p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14,73</w:t>
            </w:r>
          </w:p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C30AAD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C30AAD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C30AAD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C30AAD" w:rsidRDefault="00554A0E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30AA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C30AA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C30AAD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53 530,08</w:t>
            </w:r>
          </w:p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53 530,08</w:t>
            </w:r>
          </w:p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53 530,08</w:t>
            </w:r>
          </w:p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2 218,40</w:t>
            </w:r>
          </w:p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2 218,40</w:t>
            </w:r>
          </w:p>
        </w:tc>
      </w:tr>
      <w:tr w:rsidR="00C30AAD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2 218,40</w:t>
            </w:r>
          </w:p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C30AAD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Kwota należności z tytułu podatków realizowanych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C30AAD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</w:tbl>
    <w:p w:rsidR="00C30AAD" w:rsidRDefault="00554A0E">
      <w:r>
        <w:br w:type="page"/>
      </w:r>
    </w:p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</w:tr>
      <w:tr w:rsidR="00C30AA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133 893,00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C30AAD" w:rsidRDefault="00554A0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109 028,60</w:t>
            </w:r>
          </w:p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133 893,00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109 028,60</w:t>
            </w:r>
          </w:p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133 893,00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109 028,60</w:t>
            </w:r>
          </w:p>
        </w:tc>
      </w:tr>
    </w:tbl>
    <w:p w:rsidR="00C30AAD" w:rsidRDefault="00554A0E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30AAD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116 135,00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9 532,00</w:t>
            </w:r>
          </w:p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30 517,99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30 009,74</w:t>
            </w:r>
          </w:p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</w:tr>
      <w:tr w:rsidR="00C30AAD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3 243,02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1 912,55</w:t>
            </w:r>
          </w:p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149 896,01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41 454,29</w:t>
            </w:r>
          </w:p>
        </w:tc>
      </w:tr>
    </w:tbl>
    <w:p w:rsidR="00C30AAD" w:rsidRDefault="00554A0E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30AA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277,00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53 779,08</w:t>
            </w:r>
          </w:p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277,00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53 779,08</w:t>
            </w:r>
          </w:p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277,00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53 779,08</w:t>
            </w:r>
          </w:p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30AA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30AAD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r>
        <w:br w:type="page"/>
      </w:r>
    </w:p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30AAD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C30AA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14,54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7,18</w:t>
            </w:r>
          </w:p>
        </w:tc>
      </w:tr>
      <w:tr w:rsidR="00C30AA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14,54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7,18</w:t>
            </w:r>
          </w:p>
        </w:tc>
      </w:tr>
      <w:tr w:rsidR="00C30AA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14,54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7,18</w:t>
            </w:r>
          </w:p>
        </w:tc>
      </w:tr>
    </w:tbl>
    <w:p w:rsidR="00C30AAD" w:rsidRDefault="00554A0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30AA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30AAD" w:rsidRDefault="00554A0E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C30AAD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C30AAD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554A0E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</w:tr>
      <w:tr w:rsidR="00C30AAD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554A0E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554A0E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581,13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7 022,79</w:t>
            </w:r>
          </w:p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581,13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7 022,79</w:t>
            </w:r>
          </w:p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581,13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30AAD" w:rsidRDefault="00C30AA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7 022,79</w:t>
            </w:r>
          </w:p>
        </w:tc>
      </w:tr>
    </w:tbl>
    <w:p w:rsidR="00C30AAD" w:rsidRDefault="00554A0E">
      <w:pPr>
        <w:numPr>
          <w:ilvl w:val="1"/>
          <w:numId w:val="3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C30AAD" w:rsidRDefault="00554A0E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30AAD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30AAD" w:rsidRDefault="00554A0E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30AAD" w:rsidRDefault="00554A0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C30AAD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25,00</w:t>
            </w:r>
          </w:p>
        </w:tc>
      </w:tr>
    </w:tbl>
    <w:p w:rsidR="00C30AAD" w:rsidRDefault="00554A0E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C30AAD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C30AAD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</w:tbl>
    <w:p w:rsidR="00C30AAD" w:rsidRDefault="00554A0E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C30AAD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C30AAD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0AAD" w:rsidRDefault="00554A0E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C30AAD" w:rsidRDefault="00554A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30AAD" w:rsidRDefault="00554A0E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C30AAD" w:rsidRDefault="00554A0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C30AA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30AAD" w:rsidRDefault="00C30AA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30AAD" w:rsidRDefault="00554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AAD" w:rsidRDefault="00C30AAD"/>
        </w:tc>
      </w:tr>
      <w:tr w:rsidR="00C30AAD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AAD" w:rsidRDefault="00554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C30AAD" w:rsidRDefault="00554A0E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0AAD" w:rsidRDefault="00554A0E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AD" w:rsidRDefault="00554A0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C30AAD" w:rsidRDefault="00554A0E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554A0E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4A0E">
      <w:pPr>
        <w:spacing w:after="0" w:line="240" w:lineRule="auto"/>
      </w:pPr>
      <w:r>
        <w:separator/>
      </w:r>
    </w:p>
  </w:endnote>
  <w:endnote w:type="continuationSeparator" w:id="0">
    <w:p w:rsidR="00000000" w:rsidRDefault="0055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C30A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C30AA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C30AA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30AAD" w:rsidRDefault="00554A0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30AAD" w:rsidRDefault="00554A0E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</w:t>
    </w:r>
    <w:r>
      <w:rPr>
        <w:rFonts w:ascii="Times New Roman" w:eastAsia="Times New Roman" w:hAnsi="Times New Roman" w:cs="Times New Roman"/>
        <w:sz w:val="20"/>
      </w:rPr>
      <w:t xml:space="preserve">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30AAD" w:rsidRDefault="00554A0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4A0E">
      <w:pPr>
        <w:spacing w:after="0" w:line="240" w:lineRule="auto"/>
      </w:pPr>
      <w:r>
        <w:separator/>
      </w:r>
    </w:p>
  </w:footnote>
  <w:footnote w:type="continuationSeparator" w:id="0">
    <w:p w:rsidR="00000000" w:rsidRDefault="0055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C30A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C30AA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C30AA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1458722</wp:posOffset>
              </wp:positionV>
              <wp:extent cx="5769229" cy="9144"/>
              <wp:effectExtent l="0" t="0" r="0" b="0"/>
              <wp:wrapSquare wrapText="bothSides"/>
              <wp:docPr id="83268" name="Group 8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85" name="Shape 8938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D9F472" id="Group 83268" o:spid="_x0000_s1026" style="position:absolute;margin-left:83.65pt;margin-top:114.8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xCewIAAFkGAAAOAAAAZHJzL2Uyb0RvYy54bWykVc1u2zAMvg/YOwi+L3bSNk2MOD2sWy7D&#10;VrTdAyiyZBuQJUFS4uTtR9G2YrRbB7Q52DT1kSI//mRzd2olOXLrGq2KZD7LEsIV02WjqiL5/fz9&#10;yyohzlNVUqkVL5Izd8nd9vOnTWdyvtC1liW3BJwol3emSGrvTZ6mjtW8pW6mDVdwKLRtqYdPW6Wl&#10;pR14b2W6yLJl2mlbGqsZdw609/1hskX/QnDmfwnhuCeySCA2j0+Lz314ptsNzStLTd2wIQz6jiha&#10;2ii4NLq6p56Sg21euWobZrXTws+YblMtRMM45gDZzLMX2eysPhjMpcq7ykSagNoXPL3bLft5fLCk&#10;KYtkdbVYQrEUbaFMeDPpVUBRZ6ockDtrnsyDHRRV/xWyPgnbhjfkQ05I7jmSy0+eMFDe3C7Xi8U6&#10;IQzO1vPr6557VkOBXhmx+ttbZul4ZRoii4F0BprIXXhyH+PpqaaGI/0uZD/ytL5a3Yw8IYSsUIW0&#10;IDKS5HIHfH2IoZgqzdnB+R3XyDQ9/nC+b95ylGg9SuykRtHCCLzZ/Ib6YBeCDCLpJqWqh0qFw1Yf&#10;+bNGmH9RL4jxcirVFBWrPjYEYEfE+Dbob4oc2+OfYBjlSRf9B4ZTHjEghDy3m0HA3EGesitVoAEu&#10;YRR2kpDU43C3jYdlJZsWNt3iNssujsFbaL6+2ij5s+SBLKkeuYABw7EICmer/VdpyZGGlYQ/dE6l&#10;qemgDaMBIQ1QlNFPsBeNlNHlHE3/5rL3MICDHcdtGC2z3pIN0fQrERYLJD0uRoggGuHNWvlor2Cd&#10;Y5iTbIO41+UZVwQSAtOI1OD+wjyGXRsW5PQbUZd/hO0fAAAA//8DAFBLAwQUAAYACAAAACEAaq3O&#10;P+IAAAAMAQAADwAAAGRycy9kb3ducmV2LnhtbEyPwWrDMBBE74X+g9hCb40sm8SNazmE0PYUCk0K&#10;JTfF2tgmlmQsxXb+vptTc5zZx+xMvppMywbsfeOsBDGLgKEtnW5sJeFn//HyCswHZbVqnUUJV/Sw&#10;Kh4fcpVpN9pvHHahYhRifaYk1CF0Gee+rNEoP3MdWrqdXG9UINlXXPdqpHDT8jiKFtyoxtKHWnW4&#10;qbE87y5GwueoxnUi3oft+bS5Hvbzr9+tQCmfn6b1G7CAU/iH4VafqkNBnY7uYrVnLelFmhAqIY6X&#10;KbAbEaVzWnMkKxECeJHz+xHFHwAAAP//AwBQSwECLQAUAAYACAAAACEAtoM4kv4AAADhAQAAEwAA&#10;AAAAAAAAAAAAAAAAAAAAW0NvbnRlbnRfVHlwZXNdLnhtbFBLAQItABQABgAIAAAAIQA4/SH/1gAA&#10;AJQBAAALAAAAAAAAAAAAAAAAAC8BAABfcmVscy8ucmVsc1BLAQItABQABgAIAAAAIQC3xexCewIA&#10;AFkGAAAOAAAAAAAAAAAAAAAAAC4CAABkcnMvZTJvRG9jLnhtbFBLAQItABQABgAIAAAAIQBqrc4/&#10;4gAAAAwBAAAPAAAAAAAAAAAAAAAAANUEAABkcnMvZG93bnJldi54bWxQSwUGAAAAAAQABADzAAAA&#10;5AUAAAAA&#10;">
              <v:shape id="Shape 8938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Q+8cA&#10;AADeAAAADwAAAGRycy9kb3ducmV2LnhtbESPT2vCQBTE70K/w/IKXopuVKwxukrxHx56aFU8P7LP&#10;JJh9m2ZXjd/eFQoeh5n5DTOdN6YUV6pdYVlBrxuBIE6tLjhTcNivOzEI55E1lpZJwZ0czGdvrSkm&#10;2t74l647n4kAYZeggtz7KpHSpTkZdF1bEQfvZGuDPsg6k7rGW4CbUvaj6FMaLDgs5FjRIqf0vLsY&#10;BSv62Bz7P2faH0a+t/yL6P69IqXa783XBISnxr/C/+2tVhCPB/EQ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NEPv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21 </w:t>
    </w:r>
  </w:p>
  <w:p w:rsidR="00C30AAD" w:rsidRDefault="00554A0E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</w:t>
    </w:r>
  </w:p>
  <w:p w:rsidR="00C30AAD" w:rsidRDefault="00554A0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r. </w:t>
    </w:r>
  </w:p>
  <w:p w:rsidR="00C30AAD" w:rsidRDefault="00554A0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30AAD" w:rsidRDefault="00554A0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1458722</wp:posOffset>
              </wp:positionV>
              <wp:extent cx="5769229" cy="9144"/>
              <wp:effectExtent l="0" t="0" r="0" b="0"/>
              <wp:wrapSquare wrapText="bothSides"/>
              <wp:docPr id="83215" name="Group 83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84" name="Shape 8938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660480" id="Group 83215" o:spid="_x0000_s1026" style="position:absolute;margin-left:83.65pt;margin-top:114.8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cIvegIAAFkGAAAOAAAAZHJzL2Uyb0RvYy54bWykVclu2zAQvRfoPxC815IdJ7EFyzk0rS9F&#10;GyTpB9AUtQDcQNKW/fcdjhYLSZsCiQ/SaPhmOPNm8ebupCQ5Cucbo3M6n6WUCM1N0egqp7+fv39Z&#10;UeID0wWTRoucnoWnd9vPnzatzcTC1EYWwhFwon3W2pzWIdgsSTyvhWJ+ZqzQcFgap1iAT1clhWMt&#10;eFcyWaTpTdIaV1hnuPAetPfdId2i/7IUPPwqSy8CkTmF2AI+HT738ZlsNyyrHLN1w/sw2DuiUKzR&#10;cOno6p4FRg6ueeVKNdwZb8ow40YlpiwbLjAHyGaevshm58zBYi5V1lZ2pAmofcHTu93yn8cHR5oi&#10;p6urxfyaEs0UlAlvJp0KKGptlQFy5+yTfXC9ouq+Ytan0qn4hnzICck9j+SKUyAclNe3N+vFYk0J&#10;h7P1fLnsuOc1FOiVEa+/vWWWDFcmMbIxkNZCE/kLT/5jPD3VzAqk38fsB57WV6vlwBNCyApVSAsi&#10;R5J85oGvDzE0psoyfvBhJwwyzY4/fOiatxgkVg8SP+lBdDACbza/ZSHaxSCjSNpJqeq+UvFQmaN4&#10;NggLL+oFMV5OpZ6ixqoPDQHYATG8LfqbIof2+CcYRnnSRf+B4ZSPGBBinttNL2DuIE/ZlTrSAJdw&#10;BjuplCzgcKsmwLKSjYJNt7hN04tj8Babr6s2SuEsRSRL6kdRwoDhWESFd9X+q3TkyOJKwh86Z9LW&#10;rNfG0YCQeijK6Cfal42Uo8s5mv7NZeehB0c7gdtwtEw7S95H061EWCyQ9LAYIYLRCG82Ooz2GtY5&#10;hjnJNop7U5xxRSAhMI1IDe4vzKPftXFBTr8RdflH2P4BAAD//wMAUEsDBBQABgAIAAAAIQBqrc4/&#10;4gAAAAwBAAAPAAAAZHJzL2Rvd25yZXYueG1sTI/BasMwEETvhf6D2EJvjSybxI1rOYTQ9hQKTQol&#10;N8Xa2CaWZCzFdv6+m1NznNnH7Ey+mkzLBux946wEMYuAoS2dbmwl4Wf/8fIKzAdltWqdRQlX9LAq&#10;Hh9ylWk32m8cdqFiFGJ9piTUIXQZ576s0Sg/cx1aup1cb1Qg2Vdc92qkcNPyOIoW3KjG0odadbip&#10;sTzvLkbC56jGdSLeh+35tLke9vOv361AKZ+fpvUbsIBT+IfhVp+qQ0Gdju5itWct6UWaECohjpcp&#10;sBsRpXNacyQrEQJ4kfP7EcUfAAAA//8DAFBLAQItABQABgAIAAAAIQC2gziS/gAAAOEBAAATAAAA&#10;AAAAAAAAAAAAAAAAAABbQ29udGVudF9UeXBlc10ueG1sUEsBAi0AFAAGAAgAAAAhADj9If/WAAAA&#10;lAEAAAsAAAAAAAAAAAAAAAAALwEAAF9yZWxzLy5yZWxzUEsBAi0AFAAGAAgAAAAhAH7lwi96AgAA&#10;WQYAAA4AAAAAAAAAAAAAAAAALgIAAGRycy9lMm9Eb2MueG1sUEsBAi0AFAAGAAgAAAAhAGqtzj/i&#10;AAAADAEAAA8AAAAAAAAAAAAAAAAA1AQAAGRycy9kb3ducmV2LnhtbFBLBQYAAAAABAAEAPMAAADj&#10;BQAAAAA=&#10;">
              <v:shape id="Shape 8938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1YMcA&#10;AADeAAAADwAAAGRycy9kb3ducmV2LnhtbESPzWvCQBTE70L/h+UVvBTd+EGN0VWKX3jooVXx/Mg+&#10;k2D2bZpdNf73rlDwOMzMb5jpvDGluFLtCssKet0IBHFqdcGZgsN+3YlBOI+ssbRMCu7kYD57a00x&#10;0fbGv3Td+UwECLsEFeTeV4mULs3JoOvaijh4J1sb9EHWmdQ13gLclLIfRZ/SYMFhIceKFjml593F&#10;KFjRx+bY/znT/jDyveVfRPfvFSnVfm++JiA8Nf4V/m9vtYJ4PIiH8LwTro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BtWD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Przedsz</w:t>
    </w:r>
    <w:r>
      <w:rPr>
        <w:rFonts w:ascii="Times New Roman" w:eastAsia="Times New Roman" w:hAnsi="Times New Roman" w:cs="Times New Roman"/>
        <w:b/>
        <w:sz w:val="28"/>
      </w:rPr>
      <w:t xml:space="preserve">kole Nr 21 </w:t>
    </w:r>
  </w:p>
  <w:p w:rsidR="00C30AAD" w:rsidRDefault="00554A0E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</w:t>
    </w:r>
  </w:p>
  <w:p w:rsidR="00C30AAD" w:rsidRDefault="00554A0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r. </w:t>
    </w:r>
  </w:p>
  <w:p w:rsidR="00C30AAD" w:rsidRDefault="00554A0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30AAD" w:rsidRDefault="00554A0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1458722</wp:posOffset>
              </wp:positionV>
              <wp:extent cx="5769229" cy="9144"/>
              <wp:effectExtent l="0" t="0" r="0" b="0"/>
              <wp:wrapSquare wrapText="bothSides"/>
              <wp:docPr id="83162" name="Group 83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83" name="Shape 8938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5226A3" id="Group 83162" o:spid="_x0000_s1026" style="position:absolute;margin-left:83.65pt;margin-top:114.8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GkegIAAFkGAAAOAAAAZHJzL2Uyb0RvYy54bWykVclu2zAQvRfoPxC815LtNLEFyzk0rS9F&#10;GzTpB9AUtQDcQNKW/fcdjhYLTpsCiQ/SaPhmOPNm8eb+pCQ5Cucbo3M6n6WUCM1N0egqp7+fv31a&#10;UeID0wWTRoucnoWn99uPHzatzcTC1EYWwhFwon3W2pzWIdgsSTyvhWJ+ZqzQcFgap1iAT1clhWMt&#10;eFcyWaTpbdIaV1hnuPAetA/dId2i/7IUPPwsSy8CkTmF2AI+HT738ZlsNyyrHLN1w/sw2BuiUKzR&#10;cOno6oEFRg6ueeFKNdwZb8ow40YlpiwbLjAHyGaeXmWzc+ZgMZcqays70gTUXvH0Zrf8x/HRkabI&#10;6Wo5v11QopmCMuHNpFMBRa2tMkDunH2yj65XVN1XzPpUOhXfkA85IbnnkVxxCoSD8vPd7XqxWFPC&#10;4Ww9v7npuOc1FOiFEa+/vmaWDFcmMbIxkNZCE/kLT/59PD3VzAqk38fsB57Wy9Vy4AkhZIUqpAWR&#10;I0k+88DXuxgaU2UZP/iwEwaZZsfvPnTNWwwSqweJn/QgOhiBV5vfshDtYpBRJO2kVHVfqXiozFE8&#10;G4SFq3pBjJdTqaeosepDQwB2QAxvi/6myKE9/gmGUZ500X9gOOUjBoSY53bTC5g7yFN2pY40wCWc&#10;wU4qJQs43KoJsKxko2DTLe7S9OIYvMXm66qNUjhLEcmS+pcoYcBwLKLCu2r/RTpyZHEl4Q+dM2lr&#10;1mvjaEBIPRRl9BPty0bK0eUcTf/msvPQg6OdwG04WqadJe+j6VYiLBZIeliMEMFohDcbHUZ7Desc&#10;w5xkG8W9Kc64IpAQmEakBvcX5tHv2rggp9+IuvwjbP8AAAD//wMAUEsDBBQABgAIAAAAIQBqrc4/&#10;4gAAAAwBAAAPAAAAZHJzL2Rvd25yZXYueG1sTI/BasMwEETvhf6D2EJvjSybxI1rOYTQ9hQKTQol&#10;N8Xa2CaWZCzFdv6+m1NznNnH7Ey+mkzLBux946wEMYuAoS2dbmwl4Wf/8fIKzAdltWqdRQlX9LAq&#10;Hh9ylWk32m8cdqFiFGJ9piTUIXQZ576s0Sg/cx1aup1cb1Qg2Vdc92qkcNPyOIoW3KjG0odadbip&#10;sTzvLkbC56jGdSLeh+35tLke9vOv361AKZ+fpvUbsIBT+IfhVp+qQ0Gdju5itWct6UWaECohjpcp&#10;sBsRpXNacyQrEQJ4kfP7EcUfAAAA//8DAFBLAQItABQABgAIAAAAIQC2gziS/gAAAOEBAAATAAAA&#10;AAAAAAAAAAAAAAAAAABbQ29udGVudF9UeXBlc10ueG1sUEsBAi0AFAAGAAgAAAAhADj9If/WAAAA&#10;lAEAAAsAAAAAAAAAAAAAAAAALwEAAF9yZWxzLy5yZWxzUEsBAi0AFAAGAAgAAAAhADjewaR6AgAA&#10;WQYAAA4AAAAAAAAAAAAAAAAALgIAAGRycy9lMm9Eb2MueG1sUEsBAi0AFAAGAAgAAAAhAGqtzj/i&#10;AAAADAEAAA8AAAAAAAAAAAAAAAAA1AQAAGRycy9kb3ducmV2LnhtbFBLBQYAAAAABAAEAPMAAADj&#10;BQAAAAA=&#10;">
              <v:shape id="Shape 8938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tFMcA&#10;AADeAAAADwAAAGRycy9kb3ducmV2LnhtbESPQWvCQBSE74X+h+UVvEjdqNDG1E2QNi0ePLQqnh/Z&#10;1ySYfRuza4z/3i0IPQ4z8w2zzAbTiJ46V1tWMJ1EIIgLq2suFex3n88xCOeRNTaWScGVHGTp48MS&#10;E20v/EP91pciQNglqKDyvk2kdEVFBt3EtsTB+7WdQR9kV0rd4SXATSNnUfQiDdYcFips6b2i4rg9&#10;GwU5jb8Os+8j7favfvpxiui6yUmp0dOwegPhafD/4Xt7rRXEi3k8h7874QrI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oLRT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21 </w:t>
    </w:r>
  </w:p>
  <w:p w:rsidR="00C30AAD" w:rsidRDefault="00554A0E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</w:t>
    </w:r>
    <w:r>
      <w:rPr>
        <w:rFonts w:ascii="Times New Roman" w:eastAsia="Times New Roman" w:hAnsi="Times New Roman" w:cs="Times New Roman"/>
        <w:b/>
        <w:sz w:val="24"/>
      </w:rPr>
      <w:t xml:space="preserve">grudnia 2020 </w:t>
    </w:r>
  </w:p>
  <w:p w:rsidR="00C30AAD" w:rsidRDefault="00554A0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r. </w:t>
    </w:r>
  </w:p>
  <w:p w:rsidR="00C30AAD" w:rsidRDefault="00554A0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30AAD" w:rsidRDefault="00554A0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21</w:t>
    </w:r>
  </w:p>
  <w:p w:rsidR="00C30AAD" w:rsidRDefault="00554A0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C30AAD" w:rsidRDefault="00554A0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21</w:t>
    </w:r>
  </w:p>
  <w:p w:rsidR="00C30AAD" w:rsidRDefault="00554A0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</w:t>
    </w:r>
    <w:r>
      <w:rPr>
        <w:rFonts w:ascii="Times New Roman" w:eastAsia="Times New Roman" w:hAnsi="Times New Roman" w:cs="Times New Roman"/>
        <w:sz w:val="15"/>
      </w:rPr>
      <w:t xml:space="preserve"> 2021 r.</w:t>
    </w:r>
  </w:p>
  <w:p w:rsidR="00C30AAD" w:rsidRDefault="00554A0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AD" w:rsidRDefault="00554A0E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21</w:t>
    </w:r>
  </w:p>
  <w:p w:rsidR="00C30AAD" w:rsidRDefault="00554A0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C30AAD" w:rsidRDefault="00554A0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78A"/>
    <w:multiLevelType w:val="multilevel"/>
    <w:tmpl w:val="8ABE0A5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46F34"/>
    <w:multiLevelType w:val="hybridMultilevel"/>
    <w:tmpl w:val="D5B88070"/>
    <w:lvl w:ilvl="0" w:tplc="CF2EB258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CFA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C26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011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4CB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261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0B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C63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69C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682144"/>
    <w:multiLevelType w:val="multilevel"/>
    <w:tmpl w:val="BFD0137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AD"/>
    <w:rsid w:val="00554A0E"/>
    <w:rsid w:val="00C3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CC9AF-822F-4E50-88DA-5CF21E71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6114</Words>
  <Characters>36687</Characters>
  <Application>Microsoft Office Word</Application>
  <DocSecurity>0</DocSecurity>
  <Lines>305</Lines>
  <Paragraphs>85</Paragraphs>
  <ScaleCrop>false</ScaleCrop>
  <Company/>
  <LinksUpToDate>false</LinksUpToDate>
  <CharactersWithSpaces>42716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2021-05-07T08:13:00Z</dcterms:created>
  <dcterms:modified xsi:type="dcterms:W3CDTF">2021-05-07T08:13:00Z</dcterms:modified>
</cp:coreProperties>
</file>