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1E" w:rsidRDefault="009040F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ZSP/SR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AA601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A601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1"/>
              </w:rPr>
              <w:t>Zespół Szkół Poligraficznych im. Marszałka Józefa Piłsudskiego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1"/>
              </w:rPr>
              <w:t>Warszawa, ul. STAWKI 14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1"/>
              </w:rPr>
              <w:t>00-178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A601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1"/>
              </w:rPr>
              <w:t>tel. 0228311712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A601E" w:rsidRDefault="009040F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A601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A601E" w:rsidRDefault="009040F7">
            <w:pPr>
              <w:spacing w:after="0"/>
            </w:pPr>
            <w:r>
              <w:rPr>
                <w:sz w:val="11"/>
              </w:rPr>
              <w:t>000185057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601E" w:rsidRDefault="009040F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374 982,84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ind w:left="309"/>
            </w:pPr>
            <w:r>
              <w:rPr>
                <w:b/>
                <w:sz w:val="13"/>
              </w:rPr>
              <w:t>342 629,20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ind w:left="34"/>
            </w:pPr>
            <w:r>
              <w:rPr>
                <w:b/>
                <w:sz w:val="13"/>
              </w:rPr>
              <w:t xml:space="preserve">A. </w:t>
            </w:r>
            <w:r>
              <w:rPr>
                <w:b/>
                <w:sz w:val="13"/>
              </w:rPr>
              <w:t>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-149 936,62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-227 637,60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6 663 267,65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7 065 922,36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374 982,84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left="309"/>
            </w:pPr>
            <w:r>
              <w:rPr>
                <w:b/>
                <w:sz w:val="13"/>
              </w:rPr>
              <w:t>342 629,20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-6 809 068,65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-7 282 595,93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374 982,84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left="310"/>
            </w:pPr>
            <w:r>
              <w:rPr>
                <w:sz w:val="13"/>
              </w:rPr>
              <w:t>342 629,20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-6 809 068,65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-7 282 595,93</w:t>
            </w:r>
          </w:p>
        </w:tc>
      </w:tr>
      <w:tr w:rsidR="00AA601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-4 135,62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-10 964,03</w:t>
            </w:r>
          </w:p>
        </w:tc>
      </w:tr>
      <w:tr w:rsidR="00AA60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352 582,84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left="310"/>
            </w:pPr>
            <w:r>
              <w:rPr>
                <w:sz w:val="13"/>
              </w:rPr>
              <w:t>323 029,20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72"/>
            </w:pPr>
            <w:r>
              <w:rPr>
                <w:sz w:val="13"/>
              </w:rPr>
              <w:t xml:space="preserve">1.3. Urządzenia techniczne i </w:t>
            </w:r>
            <w:r>
              <w:rPr>
                <w:sz w:val="13"/>
              </w:rPr>
              <w:t>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22 400,00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19 600,00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709 722,98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755 232,40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 xml:space="preserve">2. Środki trwałe w </w:t>
            </w:r>
            <w:r>
              <w:rPr>
                <w:sz w:val="13"/>
              </w:rPr>
              <w:t>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709 722,98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755 232,40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1. Zobowiązania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54 715,08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49 141,78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59 833,62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72 838,03</w:t>
            </w:r>
          </w:p>
        </w:tc>
      </w:tr>
      <w:tr w:rsidR="00AA60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230 806,33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209 557,12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204 699,55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254 169,38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6 688,31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6 290,14</w:t>
            </w:r>
          </w:p>
        </w:tc>
      </w:tr>
      <w:tr w:rsidR="00AA60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6. Sumy </w:t>
            </w:r>
            <w:r>
              <w:rPr>
                <w:sz w:val="13"/>
              </w:rPr>
              <w:t>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55 148,36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54 148,54</w:t>
            </w:r>
          </w:p>
        </w:tc>
      </w:tr>
      <w:tr w:rsidR="00AA60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184 803,52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left="309"/>
            </w:pPr>
            <w:r>
              <w:rPr>
                <w:b/>
                <w:sz w:val="13"/>
              </w:rPr>
              <w:t>184 965,60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A601E" w:rsidRDefault="009040F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40 183,27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97 831,73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68 904,14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97 831,73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68 904,14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26 498,81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11 802,62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ubezpieczeń i innych </w:t>
            </w:r>
            <w:r>
              <w:rPr>
                <w:sz w:val="13"/>
              </w:rPr>
              <w:t>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26 498,81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11 802,62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158 304,71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left="309"/>
            </w:pPr>
            <w:r>
              <w:rPr>
                <w:b/>
                <w:sz w:val="13"/>
              </w:rPr>
              <w:t>173 162,98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103 156,35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left="310"/>
            </w:pPr>
            <w:r>
              <w:rPr>
                <w:sz w:val="13"/>
              </w:rPr>
              <w:t>119 014,44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55 148,36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54 148,54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A601E" w:rsidRDefault="009040F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9040F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01E" w:rsidRDefault="00AA601E"/>
        </w:tc>
      </w:tr>
      <w:tr w:rsidR="00AA60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559 786,36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309"/>
            </w:pPr>
            <w:r>
              <w:rPr>
                <w:b/>
                <w:sz w:val="13"/>
              </w:rPr>
              <w:t>527 594,80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559 786,36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3"/>
              </w:rPr>
              <w:t>527 594,80</w:t>
            </w:r>
          </w:p>
        </w:tc>
      </w:tr>
      <w:tr w:rsidR="00AA601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A601E" w:rsidRDefault="009040F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01E" w:rsidRDefault="009040F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A601E" w:rsidRDefault="009040F7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01E" w:rsidRDefault="009040F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A601E" w:rsidRDefault="009040F7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AA601E" w:rsidRDefault="009040F7">
      <w:pPr>
        <w:spacing w:after="306"/>
        <w:ind w:left="127"/>
        <w:jc w:val="center"/>
      </w:pPr>
      <w:r>
        <w:rPr>
          <w:sz w:val="11"/>
        </w:rPr>
        <w:t>Strona 1 z 1</w:t>
      </w:r>
    </w:p>
    <w:p w:rsidR="00AA601E" w:rsidRDefault="009040F7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AA601E" w:rsidRDefault="009040F7">
      <w:pPr>
        <w:pStyle w:val="Nagwek1"/>
        <w:ind w:left="32"/>
      </w:pPr>
      <w:r>
        <w:t>Jednostka: ZSP/SR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A601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AA601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A601E">
        <w:trPr>
          <w:trHeight w:val="3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Zespół Szkół Poligraficznych im. Marszałka Józefa Piłsudskiego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A601E">
        <w:trPr>
          <w:trHeight w:val="25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Warszawa, ul. STAWKI 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AA601E"/>
        </w:tc>
      </w:tr>
      <w:tr w:rsidR="00AA601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00-178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AA601E"/>
        </w:tc>
      </w:tr>
      <w:tr w:rsidR="00AA601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tel. 0228311712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A601E" w:rsidRDefault="009040F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A601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AA601E" w:rsidRDefault="009040F7">
            <w:pPr>
              <w:spacing w:after="0"/>
            </w:pPr>
            <w:r>
              <w:rPr>
                <w:sz w:val="13"/>
              </w:rPr>
              <w:t>000185057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</w:tr>
      <w:tr w:rsidR="00AA601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AA601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1 755,10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545,00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 xml:space="preserve">II. Zmiana stanu produktów </w:t>
            </w:r>
            <w:r>
              <w:rPr>
                <w:sz w:val="15"/>
              </w:rPr>
              <w:t>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V. Dotacje na finansowanie działalności pod</w:t>
            </w:r>
            <w:r>
              <w:rPr>
                <w:sz w:val="15"/>
              </w:rPr>
              <w:t>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1 755,10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545,00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6 986 378,55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7 396 257,10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32 353,64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32 353,64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1 002 867,81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686 024,85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801 955,82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357 774,40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17 468,00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20 762,22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4 088 932,17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4 986 845,40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1 018 138,88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1 283 951,40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4 926,33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5 502,80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 xml:space="preserve">VIII. </w:t>
            </w:r>
            <w:r>
              <w:rPr>
                <w:sz w:val="15"/>
              </w:rPr>
              <w:t>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19 735,90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23 042,39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-6 984 623,45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-7 395 712,10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 xml:space="preserve">D. Pozostałe przychody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175 435,76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113 088,49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175 435,76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113 088,49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A601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 xml:space="preserve">I. Koszty inwestycji finansowanych ze </w:t>
            </w:r>
            <w:r>
              <w:rPr>
                <w:sz w:val="15"/>
              </w:rPr>
              <w:t>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-6 809 187,69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-7 282 623,61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1 848,63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1 518,42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1 848,63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1 518,42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1 729,59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1 490,74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1 729,59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1 490,74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 xml:space="preserve">I. Zysk (strata) brutto </w:t>
            </w:r>
            <w:r>
              <w:rPr>
                <w:b/>
                <w:sz w:val="15"/>
              </w:rPr>
              <w:t>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-6 809 068,65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-7 282 595,93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-6 809 068,65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-7 282 595,93</w:t>
            </w:r>
          </w:p>
        </w:tc>
      </w:tr>
    </w:tbl>
    <w:p w:rsidR="00AA601E" w:rsidRDefault="009040F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A601E" w:rsidRDefault="009040F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A601E" w:rsidRDefault="009040F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A601E" w:rsidRDefault="009040F7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A601E" w:rsidRDefault="009040F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A601E" w:rsidRDefault="009040F7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AA601E" w:rsidRDefault="009040F7">
      <w:pPr>
        <w:pStyle w:val="Nagwek1"/>
        <w:ind w:left="32"/>
      </w:pPr>
      <w:r>
        <w:t>Jednostka: ZSP/SR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A601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AA601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A601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Zespół Szkół Poligraficznych im. Marszałka Józefa Piłsudskiego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A601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</w:pPr>
            <w:r>
              <w:rPr>
                <w:sz w:val="13"/>
              </w:rPr>
              <w:t>Warszawa, ul. STAWKI 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A601E" w:rsidRDefault="00AA601E"/>
        </w:tc>
      </w:tr>
      <w:tr w:rsidR="00AA601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right="2408"/>
            </w:pPr>
            <w:r>
              <w:rPr>
                <w:sz w:val="13"/>
              </w:rPr>
              <w:t>00-178 WARSZAWA tel. 0228311712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A601E" w:rsidRDefault="009040F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A601E" w:rsidRDefault="009040F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A601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A601E" w:rsidRDefault="009040F7">
            <w:pPr>
              <w:spacing w:after="0"/>
            </w:pPr>
            <w:r>
              <w:rPr>
                <w:sz w:val="13"/>
              </w:rPr>
              <w:t>000185057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</w:tr>
      <w:tr w:rsidR="00AA601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AA601E" w:rsidRDefault="00AA601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A601E" w:rsidRDefault="009040F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5 322 874,29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6 663 267,65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6 640 479,03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7 218 700,47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6 640 479,03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7 218 700,47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sz w:val="15"/>
              </w:rPr>
              <w:t xml:space="preserve">1.6. Nieodpłatnie otrzymane środki </w:t>
            </w:r>
            <w:r>
              <w:rPr>
                <w:sz w:val="15"/>
              </w:rPr>
              <w:t>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5 300 085,67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6 816 045,76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5 273 100,63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6 809 068,65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3 266,67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2 841,49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23 718,37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4 135,62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2.6. Wartość sprzedanych i nieodpłatnie przekazanych środków trwałych i</w:t>
            </w:r>
            <w:r>
              <w:rPr>
                <w:sz w:val="15"/>
              </w:rPr>
              <w:t xml:space="preserve">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6 663 267,65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7 065 922,36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-6 813 204,27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-7 293 559,96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-6 809 068,65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-7 282 595,93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4 135,62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sz w:val="15"/>
              </w:rPr>
              <w:t>10 964,03</w:t>
            </w:r>
          </w:p>
        </w:tc>
      </w:tr>
      <w:tr w:rsidR="00AA60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-149 936,62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b/>
                <w:sz w:val="15"/>
              </w:rPr>
              <w:t>-227 637,60</w:t>
            </w:r>
          </w:p>
        </w:tc>
      </w:tr>
    </w:tbl>
    <w:p w:rsidR="00AA601E" w:rsidRDefault="009040F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A601E" w:rsidRDefault="009040F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A601E" w:rsidRDefault="009040F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A601E" w:rsidRDefault="009040F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</w:t>
      </w:r>
      <w:r>
        <w:rPr>
          <w:sz w:val="15"/>
        </w:rPr>
        <w:t xml:space="preserve">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A601E" w:rsidRDefault="009040F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A601E" w:rsidRDefault="009040F7">
      <w:pPr>
        <w:spacing w:after="824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</w:t>
      </w:r>
      <w:r>
        <w:rPr>
          <w:sz w:val="13"/>
        </w:rPr>
        <w:t>arszawa, Smolna 10A</w:t>
      </w:r>
    </w:p>
    <w:p w:rsidR="00AA601E" w:rsidRDefault="00AA601E">
      <w:pPr>
        <w:sectPr w:rsidR="00AA60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A601E" w:rsidRDefault="009040F7">
      <w:pPr>
        <w:pStyle w:val="Nagwek1"/>
        <w:ind w:left="2625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AA601E" w:rsidRDefault="009040F7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A601E" w:rsidRDefault="009040F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A601E" w:rsidRDefault="009040F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A601E" w:rsidRDefault="009040F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A601E" w:rsidRDefault="009040F7">
      <w:pPr>
        <w:spacing w:after="74"/>
        <w:ind w:left="566"/>
      </w:pPr>
      <w:r>
        <w:rPr>
          <w:rFonts w:ascii="Book Antiqua" w:eastAsia="Book Antiqua" w:hAnsi="Book Antiqua" w:cs="Book Antiqua"/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Informacje o   </w:t>
      </w:r>
    </w:p>
    <w:p w:rsidR="00AA601E" w:rsidRDefault="009040F7">
      <w:pPr>
        <w:pStyle w:val="Nagwek1"/>
        <w:ind w:left="926" w:firstLine="0"/>
      </w:pPr>
      <w:r>
        <w:rPr>
          <w:rFonts w:ascii="Times New Roman" w:eastAsia="Times New Roman" w:hAnsi="Times New Roman" w:cs="Times New Roman"/>
          <w:sz w:val="28"/>
        </w:rPr>
        <w:t xml:space="preserve">Zespole </w:t>
      </w:r>
      <w:r>
        <w:rPr>
          <w:rFonts w:ascii="Times New Roman" w:eastAsia="Times New Roman" w:hAnsi="Times New Roman" w:cs="Times New Roman"/>
          <w:sz w:val="28"/>
        </w:rPr>
        <w:t xml:space="preserve">Szkół Poligraficznych im. Marszałka Józefa Piłsudskiego </w:t>
      </w:r>
      <w:r>
        <w:rPr>
          <w:rFonts w:ascii="Book Antiqua" w:eastAsia="Book Antiqua" w:hAnsi="Book Antiqua" w:cs="Book Antiqua"/>
          <w:sz w:val="22"/>
        </w:rPr>
        <w:t xml:space="preserve"> </w:t>
      </w:r>
    </w:p>
    <w:p w:rsidR="00AA601E" w:rsidRDefault="009040F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A601E" w:rsidRDefault="009040F7">
      <w:pPr>
        <w:spacing w:after="0" w:line="268" w:lineRule="auto"/>
        <w:ind w:left="57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AA601E" w:rsidRDefault="009040F7">
      <w:pPr>
        <w:spacing w:after="6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8"/>
        </w:rPr>
        <w:t>Zespół Szkół Poligraficznych im. Marszałka Józefa Piłsudskiego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 w:line="268" w:lineRule="auto"/>
        <w:ind w:left="57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Stawki 14,  00-178 Warszawa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 w:line="268" w:lineRule="auto"/>
        <w:ind w:left="57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pStyle w:val="Nagwek2"/>
      </w:pPr>
      <w:r>
        <w:t>ul. Stawki 14,  00-</w:t>
      </w:r>
      <w:r>
        <w:t xml:space="preserve">178 Warszawa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601E" w:rsidRDefault="009040F7">
      <w:pPr>
        <w:spacing w:after="1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 w:line="268" w:lineRule="auto"/>
        <w:ind w:left="57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 w:line="268" w:lineRule="auto"/>
        <w:ind w:left="10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podstawowej/średniej.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601E" w:rsidRDefault="009040F7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>01.01.2020</w:t>
      </w:r>
      <w:r>
        <w:rPr>
          <w:rFonts w:ascii="Times New Roman" w:eastAsia="Times New Roman" w:hAnsi="Times New Roman" w:cs="Times New Roman"/>
          <w:b/>
          <w:sz w:val="24"/>
        </w:rPr>
        <w:t xml:space="preserve"> r. – 31.12.2020 r.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 w:line="268" w:lineRule="auto"/>
        <w:ind w:left="921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AA601E" w:rsidRDefault="009040F7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pStyle w:val="Nagwek2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AA601E" w:rsidRDefault="009040F7">
      <w:pPr>
        <w:spacing w:after="0" w:line="268" w:lineRule="auto"/>
        <w:ind w:left="921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AA601E" w:rsidRDefault="009040F7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A601E" w:rsidRDefault="009040F7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numPr>
          <w:ilvl w:val="0"/>
          <w:numId w:val="2"/>
        </w:numPr>
        <w:spacing w:after="36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AA601E" w:rsidRDefault="009040F7">
      <w:pPr>
        <w:numPr>
          <w:ilvl w:val="0"/>
          <w:numId w:val="2"/>
        </w:numPr>
        <w:spacing w:after="40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>Ś</w:t>
      </w:r>
      <w:r>
        <w:rPr>
          <w:rFonts w:ascii="Times New Roman" w:eastAsia="Times New Roman" w:hAnsi="Times New Roman" w:cs="Times New Roman"/>
          <w:sz w:val="24"/>
        </w:rPr>
        <w:t xml:space="preserve">rodki trwałe wyceniane były na dzień bilansowy według ceny nabycia pomniejszonej o dotychczas dokonane odpisy umorzeniowe; </w:t>
      </w:r>
    </w:p>
    <w:p w:rsidR="00AA601E" w:rsidRDefault="009040F7">
      <w:pPr>
        <w:numPr>
          <w:ilvl w:val="0"/>
          <w:numId w:val="2"/>
        </w:numPr>
        <w:spacing w:after="40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</w:t>
      </w:r>
      <w:r>
        <w:rPr>
          <w:rFonts w:ascii="Times New Roman" w:eastAsia="Times New Roman" w:hAnsi="Times New Roman" w:cs="Times New Roman"/>
          <w:sz w:val="24"/>
        </w:rPr>
        <w:t xml:space="preserve">rzeniowe; </w:t>
      </w:r>
    </w:p>
    <w:p w:rsidR="00AA601E" w:rsidRDefault="009040F7">
      <w:pPr>
        <w:numPr>
          <w:ilvl w:val="0"/>
          <w:numId w:val="2"/>
        </w:numPr>
        <w:spacing w:after="37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AA601E" w:rsidRDefault="009040F7">
      <w:pPr>
        <w:numPr>
          <w:ilvl w:val="0"/>
          <w:numId w:val="2"/>
        </w:numPr>
        <w:spacing w:after="0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AA601E" w:rsidRDefault="009040F7">
      <w:pPr>
        <w:spacing w:after="33" w:line="268" w:lineRule="auto"/>
        <w:ind w:left="129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AA601E" w:rsidRDefault="009040F7">
      <w:pPr>
        <w:numPr>
          <w:ilvl w:val="0"/>
          <w:numId w:val="2"/>
        </w:numPr>
        <w:spacing w:after="38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</w:t>
      </w:r>
      <w:r>
        <w:rPr>
          <w:rFonts w:ascii="Times New Roman" w:eastAsia="Times New Roman" w:hAnsi="Times New Roman" w:cs="Times New Roman"/>
          <w:sz w:val="24"/>
        </w:rPr>
        <w:t xml:space="preserve">ug wartości rynkowej aktualnej w momencie otrzymania). Wartość przyjętych nieodpłatnie aktywów, w tym środków obrotowych, w ramach centralnego zaopatrzenia odnosi się w ciężar funduszu jednostki. </w:t>
      </w:r>
    </w:p>
    <w:p w:rsidR="00AA601E" w:rsidRDefault="009040F7">
      <w:pPr>
        <w:numPr>
          <w:ilvl w:val="0"/>
          <w:numId w:val="2"/>
        </w:numPr>
        <w:spacing w:after="0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</w:t>
      </w:r>
      <w:r>
        <w:rPr>
          <w:rFonts w:ascii="Times New Roman" w:eastAsia="Times New Roman" w:hAnsi="Times New Roman" w:cs="Times New Roman"/>
          <w:sz w:val="24"/>
        </w:rPr>
        <w:t xml:space="preserve">ie w sposób pozwalający na wyodrębnienie ich tytułów, kontrahentów, podziału na długo  i krótkoterminowe według klasyfikacji wymaganej w raportowaniu budżetowym. Wartość należności na dzień bilansowy aktualizuje się  </w:t>
      </w:r>
    </w:p>
    <w:p w:rsidR="00AA601E" w:rsidRDefault="009040F7">
      <w:pPr>
        <w:spacing w:after="0" w:line="268" w:lineRule="auto"/>
        <w:ind w:left="129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</w:t>
      </w:r>
      <w:r>
        <w:rPr>
          <w:rFonts w:ascii="Times New Roman" w:eastAsia="Times New Roman" w:hAnsi="Times New Roman" w:cs="Times New Roman"/>
          <w:sz w:val="24"/>
        </w:rPr>
        <w:t xml:space="preserve">płaty oraz stopnia ich przeterminowania. Odsetki od nieterminowych płatności należności ujmuje się nie później niż pod datą ostatniego dnia kwartału w wysokości odsetek należnych na koniec tego kwartału lub w momencie zapłaty. Odpisy </w:t>
      </w:r>
    </w:p>
    <w:p w:rsidR="00AA601E" w:rsidRDefault="009040F7">
      <w:pPr>
        <w:spacing w:after="36" w:line="268" w:lineRule="auto"/>
        <w:ind w:left="1296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</w:t>
      </w:r>
      <w:r>
        <w:rPr>
          <w:rFonts w:ascii="Times New Roman" w:eastAsia="Times New Roman" w:hAnsi="Times New Roman" w:cs="Times New Roman"/>
          <w:sz w:val="24"/>
        </w:rPr>
        <w:t xml:space="preserve">ją pozostałe koszty operacyjne i finansowe; </w:t>
      </w:r>
    </w:p>
    <w:p w:rsidR="00AA601E" w:rsidRDefault="009040F7">
      <w:pPr>
        <w:numPr>
          <w:ilvl w:val="0"/>
          <w:numId w:val="2"/>
        </w:numPr>
        <w:spacing w:after="35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klasyfikacji wymaganej w raportowaniu </w:t>
      </w:r>
      <w:r>
        <w:rPr>
          <w:rFonts w:ascii="Times New Roman" w:eastAsia="Times New Roman" w:hAnsi="Times New Roman" w:cs="Times New Roman"/>
          <w:sz w:val="24"/>
        </w:rPr>
        <w:t xml:space="preserve">budżetowym. Odpisane, przedawnione i umorzone zobowiązania wycenia się  w kwocie wymagającej zapłaty i ujmuje w przychodach finansowych. Rezerwy na zobowiązania nie są tworzone. </w:t>
      </w:r>
    </w:p>
    <w:p w:rsidR="00AA601E" w:rsidRDefault="009040F7">
      <w:pPr>
        <w:numPr>
          <w:ilvl w:val="0"/>
          <w:numId w:val="2"/>
        </w:numPr>
        <w:spacing w:after="29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</w:t>
      </w:r>
      <w:r>
        <w:rPr>
          <w:rFonts w:ascii="Times New Roman" w:eastAsia="Times New Roman" w:hAnsi="Times New Roman" w:cs="Times New Roman"/>
          <w:sz w:val="24"/>
        </w:rPr>
        <w:t>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601E" w:rsidRDefault="009040F7">
      <w:pPr>
        <w:numPr>
          <w:ilvl w:val="0"/>
          <w:numId w:val="2"/>
        </w:numPr>
        <w:spacing w:after="0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AA601E" w:rsidRDefault="009040F7">
      <w:pPr>
        <w:numPr>
          <w:ilvl w:val="0"/>
          <w:numId w:val="2"/>
        </w:numPr>
        <w:spacing w:after="0" w:line="268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</w:t>
      </w:r>
      <w:r>
        <w:rPr>
          <w:rFonts w:ascii="Times New Roman" w:eastAsia="Times New Roman" w:hAnsi="Times New Roman" w:cs="Times New Roman"/>
          <w:sz w:val="24"/>
        </w:rPr>
        <w:t xml:space="preserve">dlegać rozliczeniu w czasie 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</w:t>
      </w:r>
      <w:r>
        <w:rPr>
          <w:rFonts w:ascii="Times New Roman" w:eastAsia="Times New Roman" w:hAnsi="Times New Roman" w:cs="Times New Roman"/>
          <w:sz w:val="24"/>
        </w:rPr>
        <w:t xml:space="preserve">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601E" w:rsidRDefault="009040F7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A601E" w:rsidRDefault="009040F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pStyle w:val="Nagwek2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AA601E" w:rsidRDefault="009040F7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601E" w:rsidRDefault="009040F7">
      <w:pPr>
        <w:spacing w:after="0" w:line="268" w:lineRule="auto"/>
        <w:ind w:left="921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9040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601E" w:rsidRDefault="00AA601E">
      <w:pPr>
        <w:sectPr w:rsidR="00AA601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1421" w:right="1081" w:bottom="857" w:left="1702" w:header="708" w:footer="708" w:gutter="0"/>
          <w:cols w:space="708"/>
        </w:sectPr>
      </w:pPr>
    </w:p>
    <w:p w:rsidR="00AA601E" w:rsidRDefault="009040F7">
      <w:pPr>
        <w:pStyle w:val="Nagwek3"/>
      </w:pPr>
      <w:r>
        <w:t>Załącznik nr 21</w:t>
      </w:r>
    </w:p>
    <w:p w:rsidR="00AA601E" w:rsidRDefault="009040F7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</w:t>
      </w:r>
      <w:r>
        <w:rPr>
          <w:rFonts w:ascii="Times New Roman" w:eastAsia="Times New Roman" w:hAnsi="Times New Roman" w:cs="Times New Roman"/>
          <w:b/>
          <w:sz w:val="17"/>
        </w:rPr>
        <w:t xml:space="preserve">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AA601E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AA601E" w:rsidRDefault="00AA601E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9040F7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A601E" w:rsidRDefault="00AA601E"/>
        </w:tc>
      </w:tr>
      <w:tr w:rsidR="00AA601E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A601E" w:rsidRDefault="009040F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A601E" w:rsidRDefault="009040F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A601E" w:rsidRDefault="00AA60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1 182 145,10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672 513,55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1 467 795,95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3 322 454,60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89 113,81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89 113,81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89 113,81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89 113,81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1 182 145,10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672 513,55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1 556 909,76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3 411 568,41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829 562,26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650 113,55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1 467 795,95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2 947 471,76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29 553,64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89 113,81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121 467,45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29 553,64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2 800,00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32 353,64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89 113,81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89 113,81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859 115,90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652 913,55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1 556 909,76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3 068 939,21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352 582,84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22 400,00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374 982,84</w:t>
            </w:r>
          </w:p>
        </w:tc>
      </w:tr>
      <w:tr w:rsidR="00AA601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323 029,20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19 600,00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342 629,20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AA601E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A601E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A601E" w:rsidRDefault="00AA601E"/>
        </w:tc>
      </w:tr>
      <w:tr w:rsidR="00AA601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191 897,40</w:t>
            </w:r>
          </w:p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191 897,40</w:t>
            </w:r>
          </w:p>
        </w:tc>
      </w:tr>
      <w:tr w:rsidR="00AA601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191 897,40</w:t>
            </w:r>
          </w:p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A601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191 897,40</w:t>
            </w:r>
          </w:p>
        </w:tc>
      </w:tr>
      <w:tr w:rsidR="00AA601E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601E" w:rsidRDefault="00AA601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A601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AA601E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A601E" w:rsidRDefault="009040F7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A601E" w:rsidRDefault="009040F7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A601E" w:rsidRDefault="009040F7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A601E" w:rsidRDefault="009040F7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A601E" w:rsidRDefault="009040F7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AA601E" w:rsidRDefault="009040F7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A601E" w:rsidRDefault="009040F7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A601E" w:rsidRDefault="009040F7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AA601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A601E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AA601E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A601E" w:rsidRDefault="009040F7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A601E" w:rsidRDefault="009040F7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A601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A601E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A601E" w:rsidRDefault="009040F7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AA601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A601E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numPr>
          <w:ilvl w:val="1"/>
          <w:numId w:val="3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A601E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A601E" w:rsidRDefault="009040F7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AA601E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A601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</w:tr>
      <w:tr w:rsidR="00AA601E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A601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</w:tr>
    </w:tbl>
    <w:p w:rsidR="00AA601E" w:rsidRDefault="009040F7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9040F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A601E" w:rsidRDefault="00AA601E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86 201,72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1 490,74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87 692,46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86 201,72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1 490,74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87 692,46</w:t>
            </w:r>
          </w:p>
        </w:tc>
      </w:tr>
    </w:tbl>
    <w:p w:rsidR="00AA601E" w:rsidRDefault="009040F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AA601E" w:rsidRDefault="009040F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AA601E" w:rsidRDefault="009040F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AA601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9040F7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A601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A601E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AA601E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A601E" w:rsidRDefault="00AA601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A601E" w:rsidRDefault="00AA60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AA601E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A601E" w:rsidRDefault="009040F7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A601E" w:rsidRDefault="009040F7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A601E" w:rsidRDefault="009040F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A60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A601E" w:rsidRDefault="00AA601E"/>
        </w:tc>
      </w:tr>
    </w:tbl>
    <w:p w:rsidR="00AA601E" w:rsidRDefault="009040F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A601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A60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A601E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141 990,33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156 379,35</w:t>
            </w:r>
          </w:p>
        </w:tc>
      </w:tr>
    </w:tbl>
    <w:p w:rsidR="00AA601E" w:rsidRDefault="009040F7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A601E" w:rsidRDefault="009040F7">
      <w:pPr>
        <w:spacing w:after="0"/>
      </w:pPr>
      <w:r>
        <w:br w:type="page"/>
      </w:r>
    </w:p>
    <w:p w:rsidR="00AA601E" w:rsidRDefault="009040F7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A601E" w:rsidRDefault="009040F7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AA601E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A601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AA601E" w:rsidRDefault="009040F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601E" w:rsidRDefault="00AA60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A60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26 498,81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11 802,62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6 678,00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2 556,00</w:t>
            </w:r>
          </w:p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847,69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18 973,12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9 246,62</w:t>
            </w:r>
          </w:p>
        </w:tc>
      </w:tr>
      <w:tr w:rsidR="00AA60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26 498,81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11 802,62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AA601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A601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A601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A601E" w:rsidRDefault="009040F7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A601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AA601E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4 990,44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4 990,44</w:t>
            </w:r>
          </w:p>
        </w:tc>
      </w:tr>
      <w:tr w:rsidR="00AA601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4 990,44</w:t>
            </w:r>
          </w:p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AA601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A601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r>
        <w:br w:type="page"/>
      </w:r>
    </w:p>
    <w:p w:rsidR="00AA601E" w:rsidRDefault="009040F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A601E" w:rsidRDefault="009040F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A601E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1 755,10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545,00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1 755,10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545,00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1 755,10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545,00</w:t>
            </w:r>
          </w:p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1 755,10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545,00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481 084,09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114 674,69</w:t>
            </w:r>
          </w:p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308 905,77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233 908,59</w:t>
            </w:r>
          </w:p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11 965,96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9 191,12</w:t>
            </w:r>
          </w:p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801 955,82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357 774,40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A601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175 435,76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113 088,49</w:t>
            </w:r>
          </w:p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146 431,76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111 081,27</w:t>
            </w:r>
          </w:p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28 000,00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326,00</w:t>
            </w:r>
          </w:p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A601E" w:rsidRDefault="00AA601E"/>
        </w:tc>
      </w:tr>
      <w:tr w:rsidR="00AA601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1 681,22</w:t>
            </w:r>
          </w:p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175 435,76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113 088,49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A601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A601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A601E" w:rsidRDefault="009040F7">
      <w:r>
        <w:br w:type="page"/>
      </w:r>
    </w:p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A60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1 848,63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1 518,42</w:t>
            </w:r>
          </w:p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1 780,93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1 490,74</w:t>
            </w:r>
          </w:p>
        </w:tc>
      </w:tr>
      <w:tr w:rsidR="00AA601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67,70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27,68</w:t>
            </w:r>
          </w:p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1 848,63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1 518,42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A601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1 729,59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1 490,74</w:t>
            </w:r>
          </w:p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1 729,59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1 490,74</w:t>
            </w:r>
          </w:p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1 729,59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1 490,74</w:t>
            </w:r>
          </w:p>
        </w:tc>
      </w:tr>
    </w:tbl>
    <w:p w:rsidR="00AA601E" w:rsidRDefault="009040F7">
      <w:pPr>
        <w:pStyle w:val="Nagwek3"/>
        <w:spacing w:after="0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AA601E" w:rsidRDefault="009040F7">
      <w:pPr>
        <w:spacing w:after="0"/>
        <w:ind w:left="-48"/>
      </w:pPr>
      <w:r>
        <w:rPr>
          <w:noProof/>
        </w:rPr>
        <w:drawing>
          <wp:inline distT="0" distB="0" distL="0" distR="0">
            <wp:extent cx="6501384" cy="5809489"/>
            <wp:effectExtent l="0" t="0" r="0" b="0"/>
            <wp:docPr id="83405" name="Picture 83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5" name="Picture 834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8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1E" w:rsidRDefault="009040F7">
      <w:pPr>
        <w:spacing w:after="225" w:line="261" w:lineRule="auto"/>
        <w:ind w:left="-3"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A601E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A601E" w:rsidRDefault="009040F7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A601E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01E" w:rsidRDefault="009040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79,00</w:t>
            </w:r>
          </w:p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AA601E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AA601E" w:rsidRDefault="009040F7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</w:tbl>
    <w:p w:rsidR="00AA601E" w:rsidRDefault="009040F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AA601E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AA601E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A601E" w:rsidRDefault="009040F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A601E" w:rsidRDefault="009040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A601E" w:rsidRDefault="009040F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A601E" w:rsidRDefault="009040F7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601E" w:rsidRDefault="00AA60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601E" w:rsidRDefault="009040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1E" w:rsidRDefault="00AA601E"/>
        </w:tc>
      </w:tr>
      <w:tr w:rsidR="00AA601E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01E" w:rsidRDefault="009040F7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A601E" w:rsidRDefault="009040F7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01E" w:rsidRDefault="009040F7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01E" w:rsidRDefault="009040F7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A601E" w:rsidRDefault="009040F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9040F7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40F7">
      <w:pPr>
        <w:spacing w:after="0" w:line="240" w:lineRule="auto"/>
      </w:pPr>
      <w:r>
        <w:separator/>
      </w:r>
    </w:p>
  </w:endnote>
  <w:endnote w:type="continuationSeparator" w:id="0">
    <w:p w:rsidR="00000000" w:rsidRDefault="0090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9040F7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9040F7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9040F7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40F7">
      <w:pPr>
        <w:spacing w:after="0" w:line="240" w:lineRule="auto"/>
      </w:pPr>
      <w:r>
        <w:separator/>
      </w:r>
    </w:p>
  </w:footnote>
  <w:footnote w:type="continuationSeparator" w:id="0">
    <w:p w:rsidR="00000000" w:rsidRDefault="0090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AA601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9040F7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>Zespół Szkół Poligraficznych im. Marszałka Józefa Piłsudskiego</w:t>
    </w:r>
  </w:p>
  <w:p w:rsidR="00AA601E" w:rsidRDefault="009040F7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A601E" w:rsidRDefault="009040F7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9040F7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>Zespół Szkół Poligraficznych im. Marszałka Józefa Piłsudski</w:t>
    </w:r>
    <w:r>
      <w:rPr>
        <w:rFonts w:ascii="Times New Roman" w:eastAsia="Times New Roman" w:hAnsi="Times New Roman" w:cs="Times New Roman"/>
        <w:sz w:val="15"/>
      </w:rPr>
      <w:t>ego</w:t>
    </w:r>
  </w:p>
  <w:p w:rsidR="00AA601E" w:rsidRDefault="009040F7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A601E" w:rsidRDefault="009040F7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1E" w:rsidRDefault="009040F7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>Zespół Szkół Poligraficznych im. Marszałka Józefa Piłsudskiego</w:t>
    </w:r>
  </w:p>
  <w:p w:rsidR="00AA601E" w:rsidRDefault="009040F7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A601E" w:rsidRDefault="009040F7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23E9"/>
    <w:multiLevelType w:val="hybridMultilevel"/>
    <w:tmpl w:val="96CA5B7E"/>
    <w:lvl w:ilvl="0" w:tplc="690EC1E2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57B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2FD2E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459A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66F7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27BB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C4E0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0ABD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693D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C4D8C"/>
    <w:multiLevelType w:val="multilevel"/>
    <w:tmpl w:val="8F1EDF8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E4EFB"/>
    <w:multiLevelType w:val="hybridMultilevel"/>
    <w:tmpl w:val="53BE2AFE"/>
    <w:lvl w:ilvl="0" w:tplc="9E605F5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C4C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3E8B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0C0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AEF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0C8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CFB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AE6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2D0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E"/>
    <w:rsid w:val="009040F7"/>
    <w:rsid w:val="00A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7D27E-ADEF-46FD-9E3E-6C91543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0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"/>
      <w:ind w:left="3035"/>
      <w:jc w:val="center"/>
      <w:outlineLvl w:val="2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5925</Words>
  <Characters>35550</Characters>
  <Application>Microsoft Office Word</Application>
  <DocSecurity>0</DocSecurity>
  <Lines>296</Lines>
  <Paragraphs>82</Paragraphs>
  <ScaleCrop>false</ScaleCrop>
  <Company/>
  <LinksUpToDate>false</LinksUpToDate>
  <CharactersWithSpaces>41393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2021-05-07T08:22:00Z</dcterms:created>
  <dcterms:modified xsi:type="dcterms:W3CDTF">2021-05-07T08:22:00Z</dcterms:modified>
</cp:coreProperties>
</file>